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</w:rPr>
        <w:t>关于永宁县202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</w:rPr>
        <w:t>和202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highlight w:val="none"/>
        </w:rPr>
        <w:t>年预算草案的报告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——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  <w:t>日在永宁县第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  <w:t>十九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  <w:t>人民代表大会第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32"/>
          <w:highlight w:val="none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楷体_GB2312" w:hAnsi="宋体" w:eastAsia="楷体_GB2312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受县人民政府委托，现将202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年财政预算执行情况和202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年预算草案的报告提请大会审议，并请各位政协委员提出意见。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一、2023年财政预算执行情况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</w:pPr>
      <w:r>
        <w:rPr>
          <w:rFonts w:ascii="仿宋_GB2312" w:hAnsi="仿宋" w:eastAsia="仿宋_GB2312" w:cs="仿宋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</w:rPr>
        <w:t>年全县财政工作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  <w:lang w:eastAsia="zh-CN"/>
        </w:rPr>
        <w:t>坚持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</w:rPr>
        <w:t>以习近平新时代中国特色社会主义思想为指导，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  <w:lang w:eastAsia="zh-CN"/>
        </w:rPr>
        <w:t>全面贯彻落实党的二十大精神，深入学习习近平总书记视察宁夏重要讲话指示批示精神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</w:rPr>
        <w:t>，坚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持稳中求进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工作总基调，统筹发展和安全，落实积极财政政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  <w:lang w:eastAsia="zh-CN"/>
        </w:rPr>
        <w:t>策，努力组织财政收入，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大力促进财源建设，牢固树立过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紧日子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思想，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  <w:lang w:eastAsia="zh-CN"/>
        </w:rPr>
        <w:t>加强财政资源统筹，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调整优化支出结构，全面落实“三保”任务，全县</w:t>
      </w:r>
      <w:r>
        <w:rPr>
          <w:rFonts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财政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运</w:t>
      </w:r>
      <w:r>
        <w:rPr>
          <w:rFonts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行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整体平稳</w:t>
      </w:r>
      <w:r>
        <w:rPr>
          <w:rFonts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有力推动全县经济社会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  <w:lang w:eastAsia="zh-CN"/>
        </w:rPr>
        <w:t>高质量</w:t>
      </w:r>
      <w:r>
        <w:rPr>
          <w:rFonts w:hint="eastAsia"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发展</w:t>
      </w:r>
      <w:r>
        <w:rPr>
          <w:rFonts w:ascii="仿宋_GB2312" w:hAnsi="宋体" w:eastAsia="仿宋_GB2312" w:cs="黑体"/>
          <w:color w:val="auto"/>
          <w:spacing w:val="-6"/>
          <w:w w:val="10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eastAsia="zh-CN"/>
        </w:rPr>
        <w:t>（一）全县一般公共预算执行情况。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2023年完成地方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财政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预算总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入472200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：县本级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一般公共预算收入完成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115953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10.21%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；上级转移支付收入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280851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上年结转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72232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；动用预算稳定调节基金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3164万元。完成地方公共财政预算总支出367489万元，其中：一般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预算支出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344706万元，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1.93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；上解支出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1570万元,调出资金17700万元，债务还本支出1067万元，安排预算稳定调节基金2446万元。结转下年104711万元。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eastAsia="zh-CN"/>
        </w:rPr>
        <w:t>（二）全县政府性基金预算执行情况。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2023年完成地方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政府性基金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预算总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43654万元，其中：县本级政府性基金收入17629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从一般公共预算调入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17700万元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；上级转移支付收入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7337万元；上年结转988万元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完成地方政府性基金总支出42129万元，其中：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政府性基金预算支出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42032万元，政府性基金调出资金93万元（污水处理费超收93万元），债务还本支出4万元。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结转下年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1525万元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eastAsia="zh-CN"/>
        </w:rPr>
        <w:t>（三）国有资本经营预算执行情况。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国有资本经营预算收入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完成70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，其中：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上年结转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，上级补助收入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。完成支出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4万元，结转下年66万元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eastAsia="zh-CN"/>
        </w:rPr>
        <w:t>（四）社会保险基金预算执行情况。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社会保险基金总收入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150197万元，社会保险基金总支出147200万元，本年结余2997万元，年末滚存结余38372万元。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eastAsia="zh-CN"/>
        </w:rPr>
        <w:t>（五）政府法定债券收支情况。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年到期地方政府债券规模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357779万元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再融资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债券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356800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自有资金偿还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预算收支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情况以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12月月报为基数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最终执行结果待决算批复后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向县人大常委会报告。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eastAsia="zh-CN"/>
        </w:rPr>
        <w:t>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2023年预算执行中，因政府性基金收入影响，县本级预算收支发生变化，经县人大常委会批准，将县级政府性基金预算调整为35600万元，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其中：县本级政府性基金收入17900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从一般公共预算调入基金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17700万元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用于债券还本付息支出。申请政策性债券资金偿还隐性债务本金116900万元，其中：隐性债务风险化解试点20000万元，用于偿还银行贷款、政府购买、其他支出等项目；清理政府拖欠账款债券96900万元，用于化解隐性债务系统内工程欠款、其他应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二、2023年落实县人大决议和财政工作情况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2023年，我们全面落实永宁县第十九届人大第二次会议预算决议和审查意见,优化支出结构，强化预算管理，深化财政改革，为全县经济社会高质量发展提供有力保障。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pacing w:line="600" w:lineRule="exact"/>
        <w:ind w:left="0" w:leftChars="0" w:firstLine="643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val="en-US" w:eastAsia="zh-CN"/>
        </w:rPr>
        <w:t>坚持多措并举“聚财”，全面夯实财力基础。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深入实施财源建设工程，坚持“固税源、拓财源”“保存量、挖增量”，增强财政可持续能力。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持续落实减税降费政策，为市场主体减轻税费负担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13147万元，其中地方增值税留抵退税1972万元，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扶持壮大市场主体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，夯实财力基础。全力盘活存量资源资产，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完成农村人饮水有偿使用权转让收入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31550万元，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切实提高资源资产利用率。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加大争资争项力度，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保障重点支出需求。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争取转移支付资金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288188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14.46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深入推进“四闲”专项整治，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清理收回部分单位实有账户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及财政专户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资金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3888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万元，盘活统筹使用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提升资金使用效益。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华文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聚焦民生福祉“理财”，持续提升群众生活品质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坚持“两个支出”优先原则，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始终把基本民生支出作为财政保障的重中之重，坚持尽力而为、量力而行，科学合理调度库款，集中财力优先保障“三保”及其他刚性支出。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2023年全县“三保”及其他刚性支出222526万元，其中：“保基本民生”支出40682万元，“保工资”支出92078万元，“保运转”支出4554万元，其他刚性支出85212万元。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支持教育高质量发展，</w:t>
      </w:r>
      <w:r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统筹安排教育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经费支出59046万元，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用于第四小学、第五中学、配套幼儿园、互联网+教育信息化标杆学校建设等，保障全县义务教育薄弱环节改善与能力提升，推进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教育优质均衡发展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。支持加强卫生健康事业发展，</w:t>
      </w:r>
      <w:r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统筹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安排公共卫生支出31135万元，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支持卫生健康人才培养、公立医院改革、医务人员临时性工作补助等，提升医疗卫生服务能力。支持提升就业和社会保障水平，</w:t>
      </w:r>
      <w:r>
        <w:rPr>
          <w:rFonts w:hint="default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统筹安排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社会保障和就业支出71202万元，用于稳就业、养老、医疗保险等社会保障工作，落实困难群众基本生活保障政策，为城乡低保对象、特困供养人员等困难群众送去党和政府的温暖与关怀，推动社会保障水平稳步提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楷体_GB2312" w:hAnsi="宋体" w:eastAsia="楷体_GB2312" w:cs="华文仿宋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（三)紧扣中心任务“用财”，奋力推进高质量发展。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聚力自治区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“三区建设”、银川市“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黄河流域生态保护和高质量发展先行区示范市”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建设，调整优化财政支出结构，积极筹措资金，有效支持环境整治、乡村振兴、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“六新六特六优”产业发展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持农业农村优先发展，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巩固脱贫攻坚成果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44530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万元，用于农村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环境综合整治、一二三融合产业发展、高标准农田建设、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农村公益事业财政奖补项目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产业补助、农业保险及补贴、玉海高效节水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乡村振兴战略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坚持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生态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保护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工程建设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推进绿色低碳发展。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立足新发展阶段，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全面落实自治区党委十三届五次全会精神，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更加注重精准、可持续的要求，合理规划财政支持碳中和政策措施，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推进生态战略实施。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10855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万元，用于清洁取暖、黄河流域生态补偿、林业草原生态修复、污染防治及污水改造等，推进绿色低碳发展。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坚持创新驱动，支持重点产业发展。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紧盯重点特色产业链和产业集群培育升级、重大基础设施建设，全力支持闽宁产业园建设，助推项目落地，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带动相关小规模企业和个体经济发展。统筹资金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10652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闽宁产业园建设、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葡萄酒产业补助、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技术改造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奖补、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县域商业体系建设、服务业及电商奖励、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民贸民品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贴息补助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等，助力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企业更好发展。开展“消费需求促进年”活动，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实施更大力度促消费政策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lang w:eastAsia="zh-CN"/>
        </w:rPr>
        <w:t>统筹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</w:rPr>
        <w:t>资金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lang w:val="en-US" w:eastAsia="zh-CN"/>
        </w:rPr>
        <w:t>400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</w:rPr>
        <w:t>余万元，落实消费券、政府购房补贴、农产品促销等鼓励支持政策，努力解决旅游、餐饮、零售等行业发展面临的困难和问题，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充分发挥财政资金引导和放大效应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坚持统筹发展和安全，防范化解重大风险。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认真落实“1+37+8”系列文件精神，坚决履行财政支持安全生产工作职责，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筑牢安全发展底线，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14244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万元，全力支持安全生产工作。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严格坚持“逐年消化，只减不增”的原则，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消化财政暂付款。制定防范化解地方债务风险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“1+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一揽子方案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妥善化解存量隐性债务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。统筹资金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163200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万元，用于支付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法定债务和到期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银行贷款还本付息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、隐性债务系统内工程欠款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防范和化解债务风险。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楷体_GB2312" w:hAnsi="宋体" w:eastAsia="楷体_GB2312" w:cs="华文仿宋"/>
          <w:b/>
          <w:color w:val="auto"/>
          <w:sz w:val="32"/>
          <w:szCs w:val="32"/>
          <w:highlight w:val="none"/>
          <w:lang w:val="en-US" w:eastAsia="zh-CN"/>
        </w:rPr>
        <w:t>（四）深化财税改革“管财”，提升财政运行管理质效。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进一步深化预算指标核算管理改革，严格预算编制和执行，持续提升预算管理水平。扎实推进财会监督专项行动及乡村振兴领域专项整治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，严肃财经纪律，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维护财经秩序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树牢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过紧日子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思想，严控一般性支出，腾出更多有限财力用于民生改善。加强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国有资产管理，建立健全资产内部控制机制，严格国有资产配置审批，提高资产配置效率。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积极推进财政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预决算、涉农资金、财政收支等信息公开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打造“阳光财政”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</w:rPr>
        <w:t>加强惠民惠农资金监管，开展惠民惠农财政补贴资金“一卡通”专项治理工作，发挥惠民惠农财政补贴资金使用效益。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加强财政资金管理，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全面实施预算绩效管理，将绩效理念融入预算编制、执行、监督全过程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。充分用好财政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直达资金，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最大限度发挥直达资金惠企利民成效。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</w:rPr>
        <w:t>积极推进“六权改革”工作，落实各项改革任务，坚持以“六权”改革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  <w:lang w:eastAsia="zh-CN"/>
        </w:rPr>
        <w:t>促进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</w:rPr>
        <w:t>转方式、调结构、挖潜力、换动能，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  <w:lang w:eastAsia="zh-CN"/>
        </w:rPr>
        <w:t>助力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</w:rPr>
        <w:t>先行区建设取得突破进展。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olor w:val="auto"/>
          <w:spacing w:val="6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pacing w:val="6"/>
          <w:sz w:val="32"/>
          <w:szCs w:val="32"/>
          <w:highlight w:val="none"/>
          <w:lang w:val="en-US" w:eastAsia="zh-CN"/>
        </w:rPr>
        <w:t>各位代表，一年来，在县委、县政府的坚强领导和县人大、县政协的监督支持下，全县财政运行平稳有序，积极财政政策效应凸显，财政职能作用有效发挥。但我们也清醒认识到，财政运行中还存在一些困难和问题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收入结构不优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经济恢复向好等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因素影响，税收收入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增幅虽然有所提升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但在一般公共预算收入中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仅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占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48.77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，收入质量还有待提高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财政收支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矛盾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突出。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房地产行业整体低迷影响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，土地出让收入严重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短收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刚性支出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压力较大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highlight w:val="none"/>
          <w:lang w:val="en-US" w:eastAsia="zh-CN" w:bidi="ar-SA"/>
        </w:rPr>
        <w:t>预算执行难度加大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债务化解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困难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债务规模较大，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自身可支配财力有限等影响，政府债务化解及还本付息压力较大。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这些问题将认真研究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采取有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措施逐步解决。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2024年财政预算草案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2024年财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政工作及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预算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安排的指导思想：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坚持以习近平新时代中国特色社会主义思想为指导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全面贯彻落实党的二十大和历次全会精神，深入贯彻落实习惯“过紧日子”思想，坚持稳中求进、以进促稳、先立后破，在转方式、调结构、提质量、增效益上积极进取,在支出上持续发力，在政策上强化落实，在运行中严防风险，突出绩效管理导向，进一步释放积极的财政政策效能，切实增强经济活力，防范化解风险，统筹好安全生产和经济社会发展，持续推动经济实现质的合理增长和量的有效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2024年预算编制原则：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一是坚持量入为出，收支平衡。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保持预算编制与国民经济和社会发展规划相一致，与单位履行职能相协调，与本级财力相适应。积极盘活财政存量资金，大力优化支出结构，确保全年财政收支平衡。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二是优化支出结构，突出重点保障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。提高资金配置效率，集中财力加强基础性、普惠性、兜底线民生保障建设，持续增进民生福祉。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三是统筹发展和安全，防范化解重大风险。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加强财政承受能力评估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强化政府债务管理，坚决遏制债务增量，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防范化解政府债务风险，确保财政稳健可持续运行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30" w:firstLineChars="196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（一）一般公共预算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eastAsia="zh-CN"/>
        </w:rPr>
        <w:t>安排草案。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1.全县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一般公共预算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385050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其中：县本级一般公共预算收入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122800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，自治区财政厅提前下达固定补助一般转移支付收入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120932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万元，提前下达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共同事权及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专项转移支付收入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36607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,上年结转104711万元。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2.全县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一般公共预算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385050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基本预算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100665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部门项目预算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80355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偿债等项目支出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62712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万元,提前下达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共同事权及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36607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，上年结转支出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104711万元。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30" w:firstLineChars="196"/>
        <w:jc w:val="both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（二）政府性基金预算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eastAsia="zh-CN"/>
        </w:rPr>
        <w:t>安排草案。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1.全县政府性基金预算总收入101525万元，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其中：土地出让金收入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97700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万元，污水处理费收入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，上年结转1525万元。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2.全县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政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府性基金预算支出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101525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部门项目预算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15386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偿债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84614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，上年结转支出1525万元。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val="en-US" w:eastAsia="zh-CN"/>
        </w:rPr>
        <w:t>（三）国有资本经营预算安排草案。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国有资本经营预算收入89万元，其中：上级补助资金23万元，上年结转66万元。国有资本经营预算支出89万元。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val="en-US" w:eastAsia="zh-CN"/>
        </w:rPr>
        <w:t>（四）社会保险基金预算安排草案。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社会保险基金预算收入166092万元，支出安排162459万元，年末滚存结余42005万元。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val="en-US" w:eastAsia="zh-CN"/>
        </w:rPr>
        <w:t>政府法定债务到期偿还安排计划。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到期地方政府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法定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债券规模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64183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申请发行再融资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计划自有资金偿还9183万元。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全力完成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2024年财政重点任务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2024年，我们将全面贯彻落实党中央、区、市、县有关会议精神，围绕年度预算安排，加力提效实施积极的财政政策，着力推动全县经济社会高质量发展。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eastAsia="zh-CN"/>
        </w:rPr>
        <w:t>夯实财源根基，完成全年收入目标。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一是强化综合治税。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进一步完善财源建设工作机制，加强财税部门协同配合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提高税源监控水平，科学研判税收形势，努力提升税收收入。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二是夯实财源基础。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坚持工业强县战略，发展特色农业，推动文旅产业深度融合，支持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中小微企业、个体工商户防范化解风险，培育新的财源增长点。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三是加强向上争引。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强化跑项目争资金意识，紧盯产业政策和投资重点，协同各部门提前谋划契合我县发展的重点项目，加强与区市沟通对接，努力将可获取的政策支持转化为可用财力，全力保障重点急需领域资金需求。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四是盘活国有资产资源。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拓宽非税收入渠道，积极盘活复耕土地、闲置国有资产、农村污水处理、公共停车场等收费项目资源经营权，保障全年一般公共预算收入增幅达到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eastAsia="zh-CN"/>
        </w:rPr>
        <w:t>（二）兜牢“三保”底线，提升民生保障效力。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坚持“两个支出优先”原则，强化“三保”预算安排刚性力度，严格按照政策规定的保障范围和标准足额编列“三保”支出预算，从源头上确保基层“三保”不留“硬缺口”。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安排基本民生支出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42477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用于支持教育事业均衡发展，全县教育资金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4734万元，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推动各类各级教育扩优提质；提升健康保障水平，全县卫生健康资金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6352万元，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大力提高医疗卫生服务能力；建立健全社会保障能力，全县社会保障资金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19821万元，着力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提高城乡居民社会保障水平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等民生支出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安排人员支出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95080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万元，主要用于在职人员工资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65325万元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、离退休人员工资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4399万元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、社会保险缴费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25356万元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安排运转支出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5585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主要用于各单位正常运转办公经费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4213万元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、学校生均公用经费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1372万元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eastAsia="zh-CN"/>
        </w:rPr>
        <w:t>统筹发展和安全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eastAsia="zh-CN"/>
        </w:rPr>
        <w:t>，防范化解财政风险。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牢固树立底线思维，全力防范化解重点领域风险，确保全县财政更加平稳健康运行。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积极防范化解政府债务风险，全年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114140万元，用于偿还债务本息及消化暂付款,其中：用于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偿还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政府法定债券还本付息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67183万元；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用于偿还建制县债务化解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银行贷款还本付息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38957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用于计划消化2024年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财政暂付款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8000万元。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坚决履行财政支持安全生产工作职责，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安排资金10500万元，主要用于安全生产领域及突发事件相关支出，全力提升安全生产及应急能力，切实保障人民群众生命财产安全。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（四）深化预算绩效管理，提升预算执行水平。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强化预算执行和绩效管理，健全以绩效为导向的预算分配体系，从源头上管控好预算执行和监督任务，督促推进重大财税政策执行到位、落地见效。认真落实绩效管理主体责任，健全以绩效为导向的预算分配体系，完善预算安排与绩效目标结果挂钩的激励约束机制，推动事前事中事后绩效管理闭环系统发挥实效，对重大政策、重大项目开展全生命周期跟踪评价，将评审结果作为预算安排的重要依据，以最小的财政投入实现最优的财政资源配置，推动预算执行和绩效管理一体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lang w:eastAsia="zh-CN"/>
        </w:rPr>
        <w:t>（五）严肃财经纪律，完善法治财政体系。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严格执行财经法律法规和各项预算管理规定，按照预算管理制度改革要求，坚持先有预算、后有支出，严禁无预算、超预算安排支出，严禁突击花钱，维护预算的严肃性。强化财政监督职责，让财经纪律成为不可触碰的“高压线”。按照暂付款化解方案，落实还款主体责任，逐步清理消化存量。深刻认识审计反馈问题的重要性，加强问题整改力度，规范财政收支，及时纠正预算管理中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sectPr>
          <w:pgSz w:w="11906" w:h="16838"/>
          <w:pgMar w:top="1701" w:right="1587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各位代表，2024年财政工作任务艰巨，预算执行难度较大，我们将继续以习近平新时代中国特色社会主义思想为指导，全面贯彻落实党的二十大和历次全会精神及中央经济工作、全国财政工作会议精神，在县委、县政府的正确领导下，在县人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、县政协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监督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和社会各界的鼎力支持下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，敢于担当，善于作为，勠力同心，统筹发展和安全，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高效落实稳住经济政策措施，以奋发有为的精神状态，努力完成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全年各项工作任务，为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全县经济社会高质量发展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做出新的贡献！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解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全口径预算：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是指中央或地方政府对全部收支实行统一、完整、全面、规范的预算管理。按照预算级次即指在本地区产生的各县（市）区级的总和。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指政府凭借国家政治权力，以社会管理者身份筹集以税收为主体的财政收入，用于保障和改善民生、维持国家行政职能正常运转、保障国家安全等方面的收支预算。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政府性基金预算：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是指政府通过向社会征收基金、收费，以及出让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、发行彩票等方式取得收入，专项用于支持特定基础设施建设和社会事业发展等方面的收支预算。政府性基金预算应当根据基金项目收入情况和实际支出需要，按基金项目编制，做到以收定支。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国有资本经营预算：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是指国家以所有者身份依法取得国有资本收益，并对所得收益进行分配而发生的收支预算。国有资本经营预算支出按照当年预算收入规模安排，不列赤字。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社会保险基金预算：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是指对社会保险缴款、一般公共预算安排和其他方式筹集的资金，专项用于社会保险的收支预算。社会保险基金预算应当按照统筹层次和社会保险项目分别编制，做到收支平衡。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税收收入：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政府为履行其职能，凭借政治权力，按照特定标准，强制、无偿地取得公共收入的一种形式。包括：增值税、企业所得税、个人所得税、资源税、城市维护建设税、房产税、印花税、城镇土地使用税、土地增值税、车船税、契税、耕地占用税等税收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非税收入：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一般公共预算收入中除税收以外的其他各项收入，包括：专项收入（包括教育费附加收入、残疾人就业保障金收入、广告收入等）、行政事业性收费收入、罚没收入、国有资本经营收入、国有资产有偿使用收入、其他收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上级转移支付：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是指上级对下级的一种补助，目的是弥补财政实力薄弱地区的财力缺口，均衡地区间财力差距，以实现各地公共服务均等化为目标，而实行的一种财政资金转移或财政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目前转移支付主要由一般性转移支付和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项转移支付构成。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预算调整：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规定，对于年度财政体制调整等因素给预算收入带来的变化，对收入预算进行调整，并将调整情况上报人大批准。与调整预算的区别在于预算总量保持不变。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稳定调节基金：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是指财政通过超收收入和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预算结余安排的具有储备性质的基金，视预算平衡情况，在安排下年度预算时调入并安排使用，或用于弥补短收年份预算执行的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收支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缺口，基金的安排使用接受同级人大及其常委会的监督。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地方政府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债券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是指经国务院批准同意，以省、自治区、直辖市和计划单列市政府为发行和偿还主体发行的地方政府债券，具体分为新增债券和再融资债券。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新增债券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是指由地方政府发行用于新增建设项目的债券；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是指由地方政府发行的债券用于偿还即将到期的地方政府债券。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决算：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各级政府、各部门、各单位编制的经法定程序审查和批准的预算收支的年度执行结果。它反映和总结预算执行情况和结果，是社会经济活动在财政上的综合反映，是预算管理中不可缺少的环节。决算草案由各级政府、各部门、各单位在每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年度终了后按照国务院规定的时间编制。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jc w:val="both"/>
        <w:textAlignment w:val="auto"/>
        <w:rPr>
          <w:rFonts w:hint="eastAsia" w:ascii="楷体_GB2312" w:hAnsi="宋体" w:eastAsia="楷体_GB2312" w:cs="Times New Roman"/>
          <w:b/>
          <w:bCs/>
          <w:color w:val="auto"/>
          <w:sz w:val="30"/>
          <w:szCs w:val="30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2FjYTE1YzY5N2E5NjVjNjE1ZmI2NzYwMmRmYWUifQ=="/>
  </w:docVars>
  <w:rsids>
    <w:rsidRoot w:val="181255A9"/>
    <w:rsid w:val="02B03065"/>
    <w:rsid w:val="037B0468"/>
    <w:rsid w:val="03D90444"/>
    <w:rsid w:val="07A11279"/>
    <w:rsid w:val="08E51FB4"/>
    <w:rsid w:val="0DAD7FA0"/>
    <w:rsid w:val="10EE19D3"/>
    <w:rsid w:val="11D010D8"/>
    <w:rsid w:val="13EA4660"/>
    <w:rsid w:val="155DE25E"/>
    <w:rsid w:val="16950744"/>
    <w:rsid w:val="181255A9"/>
    <w:rsid w:val="1EBC3110"/>
    <w:rsid w:val="1F093E7B"/>
    <w:rsid w:val="1FFC12EA"/>
    <w:rsid w:val="25F50CB6"/>
    <w:rsid w:val="260B04D9"/>
    <w:rsid w:val="26E138CE"/>
    <w:rsid w:val="28A30EFE"/>
    <w:rsid w:val="2B45448D"/>
    <w:rsid w:val="2B714350"/>
    <w:rsid w:val="2E856726"/>
    <w:rsid w:val="31A90458"/>
    <w:rsid w:val="32AC3044"/>
    <w:rsid w:val="33541711"/>
    <w:rsid w:val="36C858F6"/>
    <w:rsid w:val="3D3D3216"/>
    <w:rsid w:val="3F3917BB"/>
    <w:rsid w:val="417B255F"/>
    <w:rsid w:val="43303711"/>
    <w:rsid w:val="43741014"/>
    <w:rsid w:val="4681606A"/>
    <w:rsid w:val="46F30DEA"/>
    <w:rsid w:val="4729480B"/>
    <w:rsid w:val="47BF437C"/>
    <w:rsid w:val="4C9C0ED5"/>
    <w:rsid w:val="501A2F43"/>
    <w:rsid w:val="508B081D"/>
    <w:rsid w:val="50AB003F"/>
    <w:rsid w:val="529516C0"/>
    <w:rsid w:val="52E26C7E"/>
    <w:rsid w:val="54AE00FE"/>
    <w:rsid w:val="54F2440B"/>
    <w:rsid w:val="551D59AF"/>
    <w:rsid w:val="560409E7"/>
    <w:rsid w:val="568221A3"/>
    <w:rsid w:val="56BF65F2"/>
    <w:rsid w:val="56C63E25"/>
    <w:rsid w:val="5B251AE4"/>
    <w:rsid w:val="5C2C0286"/>
    <w:rsid w:val="5EA46A80"/>
    <w:rsid w:val="60326087"/>
    <w:rsid w:val="617A7CE6"/>
    <w:rsid w:val="6280132C"/>
    <w:rsid w:val="656134AB"/>
    <w:rsid w:val="67D30150"/>
    <w:rsid w:val="68126ECA"/>
    <w:rsid w:val="68D30B09"/>
    <w:rsid w:val="6AF51EEB"/>
    <w:rsid w:val="6EE3511C"/>
    <w:rsid w:val="6FA67EF8"/>
    <w:rsid w:val="71283699"/>
    <w:rsid w:val="72EA13D2"/>
    <w:rsid w:val="748B700A"/>
    <w:rsid w:val="75A82C1C"/>
    <w:rsid w:val="7A396538"/>
    <w:rsid w:val="7CE52AFC"/>
    <w:rsid w:val="7D5E1E12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next w:val="6"/>
    <w:autoRedefine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6">
    <w:name w:val="正文首行缩进 21"/>
    <w:basedOn w:val="7"/>
    <w:next w:val="1"/>
    <w:autoRedefine/>
    <w:qFormat/>
    <w:uiPriority w:val="99"/>
    <w:pPr>
      <w:ind w:firstLine="420" w:firstLineChars="200"/>
    </w:pPr>
  </w:style>
  <w:style w:type="paragraph" w:customStyle="1" w:styleId="7">
    <w:name w:val="正文文本缩进1"/>
    <w:basedOn w:val="1"/>
    <w:next w:val="6"/>
    <w:qFormat/>
    <w:uiPriority w:val="0"/>
    <w:pPr>
      <w:ind w:left="420" w:leftChars="200"/>
    </w:pPr>
  </w:style>
  <w:style w:type="paragraph" w:customStyle="1" w:styleId="10">
    <w:name w:val="正文缩进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7075</Words>
  <Characters>7563</Characters>
  <Lines>0</Lines>
  <Paragraphs>0</Paragraphs>
  <TotalTime>74</TotalTime>
  <ScaleCrop>false</ScaleCrop>
  <LinksUpToDate>false</LinksUpToDate>
  <CharactersWithSpaces>7580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2024-01-02T09:10:00Z</dcterms:created>
  <dc:creator>HJL</dc:creator>
  <cp:lastModifiedBy>PC</cp:lastModifiedBy>
  <cp:lastPrinted>2024-01-03T16:07:00Z</cp:lastPrinted>
  <dcterms:modified xsi:type="dcterms:W3CDTF">2024-01-05T08:04:39Z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E52F3392A4E647779DA141C8C221B93F_11</vt:lpwstr>
  </property>
</Properties>
</file>