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C0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/>
        <w:jc w:val="center"/>
        <w:textAlignment w:val="auto"/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  <w:highlight w:val="none"/>
        </w:rPr>
      </w:pPr>
      <w:r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  <w:highlight w:val="none"/>
        </w:rPr>
        <w:t>关于永宁县202</w:t>
      </w:r>
      <w:r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  <w:highlight w:val="none"/>
        </w:rPr>
        <w:t>年财政预算执行情况</w:t>
      </w:r>
    </w:p>
    <w:p w14:paraId="74AD7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/>
        <w:jc w:val="center"/>
        <w:textAlignment w:val="auto"/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  <w:highlight w:val="none"/>
        </w:rPr>
      </w:pPr>
      <w:r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  <w:highlight w:val="none"/>
        </w:rPr>
        <w:t>和202</w:t>
      </w:r>
      <w:r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  <w:highlight w:val="none"/>
        </w:rPr>
        <w:t>年预算草案的报告</w:t>
      </w:r>
    </w:p>
    <w:p w14:paraId="485A8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</w:p>
    <w:p w14:paraId="6B230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eastAsia" w:ascii="楷体_GB2312" w:hAnsi="宋体" w:eastAsia="楷体_GB2312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eastAsia="zh-CN"/>
        </w:rPr>
        <w:t>——</w:t>
      </w:r>
      <w:r>
        <w:rPr>
          <w:rFonts w:hint="eastAsia" w:ascii="楷体_GB2312" w:hAnsi="宋体" w:eastAsia="楷体_GB2312" w:cs="Times New Roman"/>
          <w:b/>
          <w:bCs/>
          <w:color w:val="auto"/>
          <w:sz w:val="32"/>
          <w:szCs w:val="32"/>
          <w:highlight w:val="none"/>
        </w:rPr>
        <w:t>202</w:t>
      </w:r>
      <w:r>
        <w:rPr>
          <w:rFonts w:hint="eastAsia" w:ascii="楷体_GB2312" w:hAnsi="宋体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楷体_GB2312" w:hAnsi="宋体" w:eastAsia="楷体_GB2312" w:cs="Times New Roman"/>
          <w:b/>
          <w:bCs/>
          <w:color w:val="auto"/>
          <w:sz w:val="32"/>
          <w:szCs w:val="32"/>
          <w:highlight w:val="none"/>
        </w:rPr>
        <w:t>年</w:t>
      </w:r>
      <w:r>
        <w:rPr>
          <w:rFonts w:hint="eastAsia" w:ascii="楷体_GB2312" w:hAnsi="宋体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楷体_GB2312" w:hAnsi="宋体" w:eastAsia="楷体_GB2312" w:cs="Times New Roman"/>
          <w:b/>
          <w:bCs/>
          <w:color w:val="auto"/>
          <w:sz w:val="32"/>
          <w:szCs w:val="32"/>
          <w:highlight w:val="none"/>
        </w:rPr>
        <w:t>月</w:t>
      </w:r>
      <w:r>
        <w:rPr>
          <w:rFonts w:hint="eastAsia" w:ascii="楷体_GB2312" w:hAnsi="宋体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楷体_GB2312" w:hAnsi="宋体" w:eastAsia="楷体_GB2312" w:cs="Times New Roman"/>
          <w:b/>
          <w:bCs/>
          <w:color w:val="auto"/>
          <w:sz w:val="32"/>
          <w:szCs w:val="32"/>
          <w:highlight w:val="none"/>
        </w:rPr>
        <w:t>日在永宁县第</w:t>
      </w:r>
      <w:r>
        <w:rPr>
          <w:rFonts w:hint="eastAsia" w:ascii="楷体_GB2312" w:hAnsi="宋体" w:eastAsia="楷体_GB2312" w:cs="Times New Roman"/>
          <w:b/>
          <w:bCs/>
          <w:color w:val="auto"/>
          <w:sz w:val="32"/>
          <w:szCs w:val="32"/>
          <w:highlight w:val="none"/>
          <w:lang w:eastAsia="zh-CN"/>
        </w:rPr>
        <w:t>十九</w:t>
      </w:r>
      <w:r>
        <w:rPr>
          <w:rFonts w:hint="eastAsia" w:ascii="楷体_GB2312" w:hAnsi="宋体" w:eastAsia="楷体_GB2312" w:cs="Times New Roman"/>
          <w:b/>
          <w:bCs/>
          <w:color w:val="auto"/>
          <w:sz w:val="32"/>
          <w:szCs w:val="32"/>
          <w:highlight w:val="none"/>
        </w:rPr>
        <w:t>届</w:t>
      </w:r>
    </w:p>
    <w:p w14:paraId="23FDD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eastAsia" w:ascii="楷体_GB2312" w:hAnsi="宋体" w:eastAsia="楷体_GB2312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楷体_GB2312" w:hAnsi="宋体" w:eastAsia="楷体_GB2312" w:cs="Times New Roman"/>
          <w:b/>
          <w:bCs/>
          <w:color w:val="auto"/>
          <w:sz w:val="32"/>
          <w:szCs w:val="32"/>
          <w:highlight w:val="none"/>
        </w:rPr>
        <w:t>人民代表大会第</w:t>
      </w:r>
      <w:r>
        <w:rPr>
          <w:rFonts w:hint="eastAsia" w:ascii="楷体_GB2312" w:hAnsi="宋体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楷体_GB2312" w:hAnsi="宋体" w:eastAsia="楷体_GB2312" w:cs="Times New Roman"/>
          <w:b/>
          <w:bCs/>
          <w:color w:val="auto"/>
          <w:sz w:val="32"/>
          <w:szCs w:val="32"/>
          <w:highlight w:val="none"/>
        </w:rPr>
        <w:t>次会议上</w:t>
      </w:r>
    </w:p>
    <w:p w14:paraId="244DB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/>
        <w:jc w:val="center"/>
        <w:textAlignment w:val="auto"/>
        <w:rPr>
          <w:rFonts w:hint="eastAsia" w:ascii="楷体_GB2312" w:hAnsi="宋体" w:eastAsia="楷体_GB2312" w:cs="Times New Roman"/>
          <w:b/>
          <w:bCs/>
          <w:color w:val="auto"/>
          <w:sz w:val="30"/>
          <w:szCs w:val="30"/>
          <w:highlight w:val="none"/>
        </w:rPr>
      </w:pPr>
    </w:p>
    <w:p w14:paraId="367B1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60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各位代表：</w:t>
      </w:r>
    </w:p>
    <w:p w14:paraId="5DEF1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受县人民政府委托，现将202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年财政预算执行情况和202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年预算草案的报告提请大会审议，并请各位政协委员提出意见。</w:t>
      </w:r>
    </w:p>
    <w:p w14:paraId="7EED8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一、2023年财政预算执行情况</w:t>
      </w:r>
    </w:p>
    <w:p w14:paraId="161E2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黑体"/>
          <w:color w:val="auto"/>
          <w:spacing w:val="-6"/>
          <w:w w:val="100"/>
          <w:sz w:val="32"/>
          <w:szCs w:val="32"/>
          <w:highlight w:val="none"/>
          <w:u w:val="none"/>
        </w:rPr>
      </w:pPr>
      <w:r>
        <w:rPr>
          <w:rFonts w:ascii="仿宋_GB2312" w:hAnsi="仿宋" w:eastAsia="仿宋_GB2312" w:cs="仿宋"/>
          <w:bCs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 w:cs="仿宋"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 w:cs="仿宋"/>
          <w:bCs/>
          <w:color w:val="auto"/>
          <w:sz w:val="32"/>
          <w:szCs w:val="32"/>
          <w:highlight w:val="none"/>
        </w:rPr>
        <w:t>年全县财政工作</w:t>
      </w:r>
      <w:r>
        <w:rPr>
          <w:rFonts w:hint="eastAsia" w:ascii="仿宋_GB2312" w:hAnsi="仿宋" w:eastAsia="仿宋_GB2312" w:cs="仿宋"/>
          <w:bCs/>
          <w:color w:val="auto"/>
          <w:sz w:val="32"/>
          <w:szCs w:val="32"/>
          <w:highlight w:val="none"/>
          <w:lang w:eastAsia="zh-CN"/>
        </w:rPr>
        <w:t>坚持</w:t>
      </w:r>
      <w:r>
        <w:rPr>
          <w:rFonts w:hint="eastAsia" w:ascii="仿宋_GB2312" w:hAnsi="仿宋" w:eastAsia="仿宋_GB2312" w:cs="仿宋"/>
          <w:bCs/>
          <w:color w:val="auto"/>
          <w:sz w:val="32"/>
          <w:szCs w:val="32"/>
          <w:highlight w:val="none"/>
        </w:rPr>
        <w:t>以习近平新时代中国特色社会主义思想为指导，</w:t>
      </w:r>
      <w:r>
        <w:rPr>
          <w:rFonts w:hint="eastAsia" w:ascii="仿宋_GB2312" w:hAnsi="仿宋" w:eastAsia="仿宋_GB2312" w:cs="仿宋"/>
          <w:bCs/>
          <w:color w:val="auto"/>
          <w:sz w:val="32"/>
          <w:szCs w:val="32"/>
          <w:highlight w:val="none"/>
          <w:lang w:eastAsia="zh-CN"/>
        </w:rPr>
        <w:t>全面贯彻落实党的二十大精神，深入学习习近平总书记视察宁夏重要讲话指示批示精神</w:t>
      </w:r>
      <w:r>
        <w:rPr>
          <w:rFonts w:hint="eastAsia" w:ascii="仿宋_GB2312" w:hAnsi="仿宋" w:eastAsia="仿宋_GB2312" w:cs="仿宋"/>
          <w:bCs/>
          <w:color w:val="auto"/>
          <w:sz w:val="32"/>
          <w:szCs w:val="32"/>
          <w:highlight w:val="none"/>
        </w:rPr>
        <w:t>，坚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持稳中求进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工作总基调，统筹发展和安全，落实积极财政政</w:t>
      </w:r>
      <w:r>
        <w:rPr>
          <w:rFonts w:hint="eastAsia" w:ascii="仿宋_GB2312" w:hAnsi="宋体" w:eastAsia="仿宋_GB2312" w:cs="黑体"/>
          <w:color w:val="auto"/>
          <w:spacing w:val="-6"/>
          <w:w w:val="100"/>
          <w:sz w:val="32"/>
          <w:szCs w:val="32"/>
          <w:highlight w:val="none"/>
          <w:u w:val="none"/>
          <w:lang w:eastAsia="zh-CN"/>
        </w:rPr>
        <w:t>策，努力组织财政收入，</w:t>
      </w:r>
      <w:r>
        <w:rPr>
          <w:rFonts w:hint="eastAsia" w:ascii="仿宋_GB2312" w:hAnsi="宋体" w:eastAsia="仿宋_GB2312" w:cs="黑体"/>
          <w:color w:val="auto"/>
          <w:spacing w:val="-6"/>
          <w:w w:val="100"/>
          <w:sz w:val="32"/>
          <w:szCs w:val="32"/>
          <w:highlight w:val="none"/>
          <w:u w:val="none"/>
        </w:rPr>
        <w:t>大力促进财源建设，牢固树立过</w:t>
      </w:r>
      <w:r>
        <w:rPr>
          <w:rFonts w:hint="eastAsia" w:ascii="仿宋_GB2312" w:hAnsi="宋体" w:eastAsia="仿宋_GB2312" w:cs="黑体"/>
          <w:color w:val="auto"/>
          <w:spacing w:val="-6"/>
          <w:w w:val="100"/>
          <w:sz w:val="32"/>
          <w:szCs w:val="32"/>
          <w:highlight w:val="none"/>
          <w:u w:val="none"/>
          <w:lang w:eastAsia="zh-CN"/>
        </w:rPr>
        <w:t>“</w:t>
      </w:r>
      <w:r>
        <w:rPr>
          <w:rFonts w:hint="eastAsia" w:ascii="仿宋_GB2312" w:hAnsi="宋体" w:eastAsia="仿宋_GB2312" w:cs="黑体"/>
          <w:color w:val="auto"/>
          <w:spacing w:val="-6"/>
          <w:w w:val="100"/>
          <w:sz w:val="32"/>
          <w:szCs w:val="32"/>
          <w:highlight w:val="none"/>
          <w:u w:val="none"/>
        </w:rPr>
        <w:t>紧日子</w:t>
      </w:r>
      <w:r>
        <w:rPr>
          <w:rFonts w:hint="eastAsia" w:ascii="仿宋_GB2312" w:hAnsi="宋体" w:eastAsia="仿宋_GB2312" w:cs="黑体"/>
          <w:color w:val="auto"/>
          <w:spacing w:val="-6"/>
          <w:w w:val="100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eastAsia" w:ascii="仿宋_GB2312" w:hAnsi="宋体" w:eastAsia="仿宋_GB2312" w:cs="黑体"/>
          <w:color w:val="auto"/>
          <w:spacing w:val="-6"/>
          <w:w w:val="100"/>
          <w:sz w:val="32"/>
          <w:szCs w:val="32"/>
          <w:highlight w:val="none"/>
          <w:u w:val="none"/>
        </w:rPr>
        <w:t>思想，</w:t>
      </w:r>
      <w:r>
        <w:rPr>
          <w:rFonts w:hint="eastAsia" w:ascii="仿宋_GB2312" w:hAnsi="宋体" w:eastAsia="仿宋_GB2312" w:cs="黑体"/>
          <w:color w:val="auto"/>
          <w:spacing w:val="-6"/>
          <w:w w:val="100"/>
          <w:sz w:val="32"/>
          <w:szCs w:val="32"/>
          <w:highlight w:val="none"/>
          <w:u w:val="none"/>
          <w:lang w:eastAsia="zh-CN"/>
        </w:rPr>
        <w:t>加强财政资源统筹，</w:t>
      </w:r>
      <w:r>
        <w:rPr>
          <w:rFonts w:hint="eastAsia" w:ascii="仿宋_GB2312" w:hAnsi="宋体" w:eastAsia="仿宋_GB2312" w:cs="黑体"/>
          <w:color w:val="auto"/>
          <w:spacing w:val="-6"/>
          <w:w w:val="100"/>
          <w:sz w:val="32"/>
          <w:szCs w:val="32"/>
          <w:highlight w:val="none"/>
          <w:u w:val="none"/>
        </w:rPr>
        <w:t>调整优化支出结构，全面落实“三保”任务，全县</w:t>
      </w:r>
      <w:r>
        <w:rPr>
          <w:rFonts w:ascii="仿宋_GB2312" w:hAnsi="宋体" w:eastAsia="仿宋_GB2312" w:cs="黑体"/>
          <w:color w:val="auto"/>
          <w:spacing w:val="-6"/>
          <w:w w:val="100"/>
          <w:sz w:val="32"/>
          <w:szCs w:val="32"/>
          <w:highlight w:val="none"/>
          <w:u w:val="none"/>
        </w:rPr>
        <w:t>财政</w:t>
      </w:r>
      <w:r>
        <w:rPr>
          <w:rFonts w:hint="eastAsia" w:ascii="仿宋_GB2312" w:hAnsi="宋体" w:eastAsia="仿宋_GB2312" w:cs="黑体"/>
          <w:color w:val="auto"/>
          <w:spacing w:val="-6"/>
          <w:w w:val="100"/>
          <w:sz w:val="32"/>
          <w:szCs w:val="32"/>
          <w:highlight w:val="none"/>
          <w:u w:val="none"/>
        </w:rPr>
        <w:t>运</w:t>
      </w:r>
      <w:r>
        <w:rPr>
          <w:rFonts w:ascii="仿宋_GB2312" w:hAnsi="宋体" w:eastAsia="仿宋_GB2312" w:cs="黑体"/>
          <w:color w:val="auto"/>
          <w:spacing w:val="-6"/>
          <w:w w:val="100"/>
          <w:sz w:val="32"/>
          <w:szCs w:val="32"/>
          <w:highlight w:val="none"/>
          <w:u w:val="none"/>
        </w:rPr>
        <w:t>行</w:t>
      </w:r>
      <w:r>
        <w:rPr>
          <w:rFonts w:hint="eastAsia" w:ascii="仿宋_GB2312" w:hAnsi="宋体" w:eastAsia="仿宋_GB2312" w:cs="黑体"/>
          <w:color w:val="auto"/>
          <w:spacing w:val="-6"/>
          <w:w w:val="100"/>
          <w:sz w:val="32"/>
          <w:szCs w:val="32"/>
          <w:highlight w:val="none"/>
          <w:u w:val="none"/>
        </w:rPr>
        <w:t>整体平稳</w:t>
      </w:r>
      <w:r>
        <w:rPr>
          <w:rFonts w:ascii="仿宋_GB2312" w:hAnsi="宋体" w:eastAsia="仿宋_GB2312" w:cs="黑体"/>
          <w:color w:val="auto"/>
          <w:spacing w:val="-6"/>
          <w:w w:val="100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宋体" w:eastAsia="仿宋_GB2312" w:cs="黑体"/>
          <w:color w:val="auto"/>
          <w:spacing w:val="-6"/>
          <w:w w:val="100"/>
          <w:sz w:val="32"/>
          <w:szCs w:val="32"/>
          <w:highlight w:val="none"/>
          <w:u w:val="none"/>
        </w:rPr>
        <w:t>有力推动全县经济社会</w:t>
      </w:r>
      <w:r>
        <w:rPr>
          <w:rFonts w:hint="eastAsia" w:ascii="仿宋_GB2312" w:hAnsi="宋体" w:eastAsia="仿宋_GB2312" w:cs="黑体"/>
          <w:color w:val="auto"/>
          <w:spacing w:val="-6"/>
          <w:w w:val="100"/>
          <w:sz w:val="32"/>
          <w:szCs w:val="32"/>
          <w:highlight w:val="none"/>
          <w:u w:val="none"/>
          <w:lang w:eastAsia="zh-CN"/>
        </w:rPr>
        <w:t>高质量</w:t>
      </w:r>
      <w:r>
        <w:rPr>
          <w:rFonts w:hint="eastAsia" w:ascii="仿宋_GB2312" w:hAnsi="宋体" w:eastAsia="仿宋_GB2312" w:cs="黑体"/>
          <w:color w:val="auto"/>
          <w:spacing w:val="-6"/>
          <w:w w:val="100"/>
          <w:sz w:val="32"/>
          <w:szCs w:val="32"/>
          <w:highlight w:val="none"/>
          <w:u w:val="none"/>
        </w:rPr>
        <w:t>发展</w:t>
      </w:r>
      <w:r>
        <w:rPr>
          <w:rFonts w:ascii="仿宋_GB2312" w:hAnsi="宋体" w:eastAsia="仿宋_GB2312" w:cs="黑体"/>
          <w:color w:val="auto"/>
          <w:spacing w:val="-6"/>
          <w:w w:val="100"/>
          <w:sz w:val="32"/>
          <w:szCs w:val="32"/>
          <w:highlight w:val="none"/>
          <w:u w:val="none"/>
        </w:rPr>
        <w:t>。</w:t>
      </w:r>
    </w:p>
    <w:p w14:paraId="3F82D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600" w:lineRule="exact"/>
        <w:ind w:firstLine="643" w:firstLineChars="200"/>
        <w:jc w:val="both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宋体" w:eastAsia="楷体_GB2312" w:cs="华文仿宋"/>
          <w:b/>
          <w:color w:val="auto"/>
          <w:sz w:val="32"/>
          <w:szCs w:val="32"/>
          <w:highlight w:val="none"/>
          <w:lang w:eastAsia="zh-CN"/>
        </w:rPr>
        <w:t>（一）全县一般公共预算执行情况。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2023年完成地方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公共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财政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预算总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收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入472200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其中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：县本级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一般公共预算收入完成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115953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同比增长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10.21%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；上级转移支付收入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280851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上年结转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72232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；动用预算稳定调节基金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3164万元。完成地方公共财政预算总支出367489万元，其中：一般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公共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预算支出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344706万元，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同比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1.93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；上解支出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1570万元,调出资金17700万元，债务还本支出1067万元，安排预算稳定调节基金2446万元。结转下年104711万元。</w:t>
      </w:r>
    </w:p>
    <w:p w14:paraId="692FC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600" w:lineRule="exact"/>
        <w:ind w:firstLine="643" w:firstLineChars="200"/>
        <w:jc w:val="both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宋体" w:eastAsia="楷体_GB2312" w:cs="华文仿宋"/>
          <w:b/>
          <w:color w:val="auto"/>
          <w:sz w:val="32"/>
          <w:szCs w:val="32"/>
          <w:highlight w:val="none"/>
          <w:lang w:eastAsia="zh-CN"/>
        </w:rPr>
        <w:t>（二）全县政府性基金预算执行情况。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2023年完成地方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政府性基金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预算总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收入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43654万元，其中：县本级政府性基金收入17629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从一般公共预算调入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17700万元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；上级转移支付收入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7337万元；上年结转988万元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完成地方政府性基金总支出42129万元，其中：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政府性基金预算支出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42032万元，政府性基金调出资金93万元（污水处理费超收93万元），债务还本支出4万元。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结转下年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1525万元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。</w:t>
      </w:r>
    </w:p>
    <w:p w14:paraId="19556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600" w:lineRule="exact"/>
        <w:ind w:firstLine="643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楷体_GB2312" w:hAnsi="宋体" w:eastAsia="楷体_GB2312" w:cs="华文仿宋"/>
          <w:b/>
          <w:color w:val="auto"/>
          <w:sz w:val="32"/>
          <w:szCs w:val="32"/>
          <w:highlight w:val="none"/>
          <w:lang w:eastAsia="zh-CN"/>
        </w:rPr>
        <w:t>（三）国有资本经营预算执行情况。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国有资本经营预算收入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完成70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，其中：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上年结转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，上级补助收入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23万元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。完成支出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4万元，结转下年66万元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。</w:t>
      </w:r>
    </w:p>
    <w:p w14:paraId="08BC4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600" w:lineRule="exact"/>
        <w:ind w:firstLine="643" w:firstLineChars="200"/>
        <w:jc w:val="both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宋体" w:eastAsia="楷体_GB2312" w:cs="华文仿宋"/>
          <w:b/>
          <w:color w:val="auto"/>
          <w:sz w:val="32"/>
          <w:szCs w:val="32"/>
          <w:highlight w:val="none"/>
          <w:lang w:eastAsia="zh-CN"/>
        </w:rPr>
        <w:t>（四）社会保险基金预算执行情况。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eastAsia="zh-CN"/>
        </w:rPr>
        <w:t>社会保险基金总收入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150197万元，社会保险基金总支出147200万元，本年结余2997万元，年末滚存结余38372万元。</w:t>
      </w:r>
    </w:p>
    <w:p w14:paraId="05C79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宋体" w:eastAsia="楷体_GB2312" w:cs="华文仿宋"/>
          <w:b/>
          <w:color w:val="auto"/>
          <w:sz w:val="32"/>
          <w:szCs w:val="32"/>
          <w:highlight w:val="none"/>
          <w:lang w:eastAsia="zh-CN"/>
        </w:rPr>
        <w:t>（五）政府法定债券收支情况。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年到期地方政府债券规模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357779万元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申请再融资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债券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356800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万元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自有资金偿还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979万元。</w:t>
      </w:r>
    </w:p>
    <w:p w14:paraId="01231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上述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预算收支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情况以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12月月报为基数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最终执行结果待决算批复后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向县人大常委会报告。</w:t>
      </w:r>
    </w:p>
    <w:p w14:paraId="55224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600" w:lineRule="exact"/>
        <w:ind w:left="0" w:firstLine="643" w:firstLineChars="200"/>
        <w:jc w:val="both"/>
        <w:textAlignment w:val="auto"/>
        <w:rPr>
          <w:rFonts w:hint="eastAsia" w:ascii="楷体_GB2312" w:hAnsi="宋体" w:eastAsia="楷体_GB2312" w:cs="华文仿宋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宋体" w:eastAsia="楷体_GB2312" w:cs="华文仿宋"/>
          <w:b/>
          <w:color w:val="auto"/>
          <w:sz w:val="32"/>
          <w:szCs w:val="32"/>
          <w:highlight w:val="none"/>
          <w:lang w:val="en-US" w:eastAsia="zh-CN"/>
        </w:rPr>
        <w:t>（六）</w:t>
      </w:r>
      <w:r>
        <w:rPr>
          <w:rFonts w:hint="eastAsia" w:ascii="楷体_GB2312" w:hAnsi="宋体" w:eastAsia="楷体_GB2312" w:cs="华文仿宋"/>
          <w:b/>
          <w:color w:val="auto"/>
          <w:sz w:val="32"/>
          <w:szCs w:val="32"/>
          <w:highlight w:val="none"/>
          <w:lang w:eastAsia="zh-CN"/>
        </w:rPr>
        <w:t>需要说明的情况</w:t>
      </w:r>
    </w:p>
    <w:p w14:paraId="64C77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2023年预算执行中，因政府性基金收入影响，县本级预算收支发生变化，经县人大常委会批准，将县级政府性基金预算调整为35600万元，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其中：县本级政府性基金收入17900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从一般公共预算调入基金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17700万元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用于债券还本付息支出。申请政策性债券资金偿还隐性债务本金116900万元，其中：隐性债务风险化解试点20000万元，用于偿还银行贷款、政府购买、其他支出等项目；清理政府拖欠账款债券96900万元，用于化解隐性债务系统内工程欠款、其他应付款。</w:t>
      </w:r>
    </w:p>
    <w:p w14:paraId="0EF0B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二、2023年落实县人大决议和财政工作情况</w:t>
      </w:r>
    </w:p>
    <w:p w14:paraId="6E0640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2023年，我们全面落实永宁县第十九届人大第二次会议预算决议和审查意见,优化支出结构，强化预算管理，深化财政改革，为全县经济社会高质量发展提供有力保障。</w:t>
      </w:r>
    </w:p>
    <w:p w14:paraId="61B456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adjustRightInd/>
        <w:spacing w:line="600" w:lineRule="exact"/>
        <w:ind w:left="0" w:leftChars="0" w:firstLine="643" w:firstLineChars="200"/>
        <w:jc w:val="both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楷体_GB2312" w:hAnsi="宋体" w:eastAsia="楷体_GB2312" w:cs="华文仿宋"/>
          <w:b/>
          <w:color w:val="auto"/>
          <w:sz w:val="32"/>
          <w:szCs w:val="32"/>
          <w:highlight w:val="none"/>
          <w:lang w:val="en-US" w:eastAsia="zh-CN"/>
        </w:rPr>
        <w:t>坚持多措并举“聚财”，全面夯实财力基础。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深入实施财源建设工程，坚持“固税源、拓财源”“保存量、挖增量”，增强财政可持续能力。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持续落实减税降费政策，为市场主体减轻税费负担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13147万元，其中地方增值税留抵退税1972万元，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扶持壮大市场主体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，夯实财力基础。全力盘活存量资源资产，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完成农村人饮水有偿使用权转让收入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31550万元，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切实提高资源资产利用率。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加大争资争项力度，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保障重点支出需求。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共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争取转移支付资金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288188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同比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增长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14.46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%。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深入推进“四闲”专项整治，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清理收回部分单位实有账户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及财政专户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资金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3888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万元，盘活统筹使用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提升资金使用效益。</w:t>
      </w:r>
    </w:p>
    <w:p w14:paraId="7A0912DE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宋体" w:eastAsia="楷体_GB2312" w:cs="华文仿宋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聚焦民生福祉“理财”，持续提升群众生活品质</w:t>
      </w: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坚持“两个支出”优先原则，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始终把基本民生支出作为财政保障的重中之重，坚持尽力而为、量力而行，科学合理调度库款，集中财力优先保障“三保”及其他刚性支出。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2023年全县“三保”及其他刚性支出222526万元，其中：“保基本民生”支出40682万元，“保工资”支出92078万元，“保运转”支出4554万元，其他刚性支出85212万元。</w:t>
      </w:r>
    </w:p>
    <w:p w14:paraId="2F94D03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支持教育高质量发展，</w:t>
      </w:r>
      <w:r>
        <w:rPr>
          <w:rFonts w:hint="default" w:ascii="仿宋_GB2312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统筹安排教育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经费支出59046万元，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用于第四小学、第五中学、配套幼儿园、互联网+教育信息化标杆学校建设等，保障全县义务教育薄弱环节改善与能力提升，推进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教育优质均衡发展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。支持加强卫生健康事业发展，</w:t>
      </w:r>
      <w:r>
        <w:rPr>
          <w:rFonts w:hint="default" w:ascii="仿宋_GB2312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统筹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安排公共卫生支出31135万元，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支持卫生健康人才培养、公立医院改革、医务人员临时性工作补助等，提升医疗卫生服务能力。支持提升就业和社会保障水平，</w:t>
      </w:r>
      <w:r>
        <w:rPr>
          <w:rFonts w:hint="default" w:ascii="仿宋_GB2312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统筹安排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社会保障和就业支出71202万元，用于稳就业、养老、医疗保险等社会保障工作，落实困难群众基本生活保障政策，为城乡低保对象、特困供养人员等困难群众送去党和政府的温暖与关怀，推动社会保障水平稳步提升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。</w:t>
      </w:r>
    </w:p>
    <w:p w14:paraId="4F4B87C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 w:val="0"/>
        <w:spacing w:line="60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楷体_GB2312" w:hAnsi="宋体" w:eastAsia="楷体_GB2312" w:cs="华文仿宋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（三)紧扣中心任务“用财”，奋力推进高质量发展。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聚力自治区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“三区建设”、银川市“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黄河流域生态保护和高质量发展先行区示范市”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建设，调整优化财政支出结构，积极筹措资金，有效支持环境整治、乡村振兴、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“六新六特六优”产业发展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。</w:t>
      </w:r>
    </w:p>
    <w:p w14:paraId="58BD4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60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持农业农村优先发展，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巩固脱贫攻坚成果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统筹资金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44530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万元，用于农村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人居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环境综合整治、一二三融合产业发展、高标准农田建设、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农村公益事业财政奖补项目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产业补助、农业保险及补贴、玉海高效节水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，推动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乡村振兴战略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取得实效。</w:t>
      </w:r>
    </w:p>
    <w:p w14:paraId="38690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60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坚持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生态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保护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工程建设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推进绿色低碳发展。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立足新发展阶段，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全面落实自治区党委十三届五次全会精神，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更加注重精准、可持续的要求，合理规划财政支持碳中和政策措施，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推进生态战略实施。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统筹资金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10855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万元，用于清洁取暖、黄河流域生态补偿、林业草原生态修复、污染防治及污水改造等，推进绿色低碳发展。</w:t>
      </w:r>
    </w:p>
    <w:p w14:paraId="53ACA7A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60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宋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坚持创新驱动，支持重点产业发展。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紧盯重点特色产业链和产业集群培育升级、重大基础设施建设，全力支持闽宁产业园建设，助推项目落地，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带动相关小规模企业和个体经济发展。统筹资金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10652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万元，用于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闽宁产业园建设、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葡萄酒产业补助、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技术改造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奖补、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县域商业体系建设、服务业及电商奖励、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民贸民品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贷款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贴息补助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等，助力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企业更好发展。开展“消费需求促进年”活动，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实施更大力度促消费政策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>统筹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资金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  <w:t>400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余万元，落实消费券、政府购房补贴、农产品促销等鼓励支持政策，努力解决旅游、餐饮、零售等行业发展面临的困难和问题，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充分发挥财政资金引导和放大效应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5BDDF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60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坚持统筹发展和安全，防范化解重大风险。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认真落实“1+37+8”系列文件精神，坚决履行财政支持安全生产工作职责，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筑牢安全发展底线，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统筹资金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14244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万元，全力支持安全生产工作。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严格坚持“逐年消化，只减不增”的原则，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统筹资金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4500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消化财政暂付款。制定防范化解地方债务风险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“1+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+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一揽子方案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妥善化解存量隐性债务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。统筹资金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163200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万元，用于支付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法定债务和到期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银行贷款还本付息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、隐性债务系统内工程欠款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有效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防范和化解债务风险。</w:t>
      </w:r>
    </w:p>
    <w:p w14:paraId="7208C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60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楷体_GB2312" w:hAnsi="宋体" w:eastAsia="楷体_GB2312" w:cs="华文仿宋"/>
          <w:b/>
          <w:color w:val="auto"/>
          <w:sz w:val="32"/>
          <w:szCs w:val="32"/>
          <w:highlight w:val="none"/>
          <w:lang w:val="en-US" w:eastAsia="zh-CN"/>
        </w:rPr>
        <w:t>（四）深化财税改革“管财”，提升财政运行管理质效。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进一步深化预算指标核算管理改革，严格预算编制和执行，持续提升预算管理水平。扎实推进财会监督专项行动及乡村振兴领域专项整治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，严肃财经纪律，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维护财经秩序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树牢</w:t>
      </w: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highlight w:val="none"/>
        </w:rPr>
        <w:t>“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过紧日子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思想，严控一般性支出，腾出更多有限财力用于民生改善。加强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国有资产管理，建立健全资产内部控制机制，严格国有资产配置审批，提高资产配置效率。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积极推进财政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预决算、涉农资金、财政收支等信息公开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打造“阳光财政”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highlight w:val="none"/>
        </w:rPr>
        <w:t>加强惠民惠农资金监管，开展惠民惠农财政补贴资金“一卡通”专项治理工作，发挥惠民惠农财政补贴资金使用效益。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加强财政资金管理，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全面实施预算绩效管理，将绩效理念融入预算编制、执行、监督全过程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。充分用好财政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直达资金，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最大限度发挥直达资金惠企利民成效。</w:t>
      </w: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highlight w:val="none"/>
        </w:rPr>
        <w:t>积极推进“六权改革”工作，落实各项改革任务，坚持以“六权”改革</w:t>
      </w: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highlight w:val="none"/>
          <w:lang w:eastAsia="zh-CN"/>
        </w:rPr>
        <w:t>促进</w:t>
      </w: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highlight w:val="none"/>
        </w:rPr>
        <w:t>转方式、调结构、挖潜力、换动能，</w:t>
      </w: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highlight w:val="none"/>
          <w:lang w:eastAsia="zh-CN"/>
        </w:rPr>
        <w:t>助力</w:t>
      </w: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highlight w:val="none"/>
        </w:rPr>
        <w:t>先行区建设取得突破进展。</w:t>
      </w:r>
    </w:p>
    <w:p w14:paraId="6DA39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60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olor w:val="auto"/>
          <w:spacing w:val="6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pacing w:val="6"/>
          <w:sz w:val="32"/>
          <w:szCs w:val="32"/>
          <w:highlight w:val="none"/>
          <w:lang w:val="en-US" w:eastAsia="zh-CN"/>
        </w:rPr>
        <w:t>各位代表，一年来，在县委、县政府的坚强领导和县人大、县政协的监督支持下，全县财政运行平稳有序，积极财政政策效应凸显，财政职能作用有效发挥。但我们也清醒认识到，财政运行中还存在一些困难和问题：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</w:rPr>
        <w:t>一是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  <w:lang w:eastAsia="zh-CN"/>
        </w:rPr>
        <w:t>收入结构不优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受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经济恢复向好等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因素影响，税收收入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增幅虽然有所提升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但在一般公共预算收入中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仅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占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val="en-US" w:eastAsia="zh-CN"/>
        </w:rPr>
        <w:t>48.77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，收入质量还有待提高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</w:rPr>
        <w:t>二是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  <w:lang w:eastAsia="zh-CN"/>
        </w:rPr>
        <w:t>财政收支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</w:rPr>
        <w:t>矛盾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  <w:lang w:eastAsia="zh-CN"/>
        </w:rPr>
        <w:t>突出。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受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房地产行业整体低迷影响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，土地出让收入严重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短收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刚性支出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val="en-US" w:eastAsia="zh-CN"/>
        </w:rPr>
        <w:t>压力较大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>预算执行难度加大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</w:rPr>
        <w:t>三是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  <w:lang w:eastAsia="zh-CN"/>
        </w:rPr>
        <w:t>政府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</w:rPr>
        <w:t>债务化解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  <w:lang w:eastAsia="zh-CN"/>
        </w:rPr>
        <w:t>困难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2"/>
          <w:szCs w:val="32"/>
          <w:highlight w:val="none"/>
          <w:lang w:eastAsia="zh-CN"/>
        </w:rPr>
        <w:t>受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债务规模较大，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自身可支配财力有限等影响，政府债务化解及还本付息压力较大。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这些问题将认真研究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采取有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效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措施逐步解决。</w:t>
      </w:r>
    </w:p>
    <w:p w14:paraId="516D6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  <w:t>三、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2024年财政预算草案</w:t>
      </w:r>
    </w:p>
    <w:p w14:paraId="52181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2024年财</w:t>
      </w: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  <w:highlight w:val="none"/>
          <w:lang w:eastAsia="zh-CN"/>
        </w:rPr>
        <w:t>政工作及</w:t>
      </w: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  <w:highlight w:val="none"/>
        </w:rPr>
        <w:t>预算</w:t>
      </w: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  <w:highlight w:val="none"/>
          <w:lang w:eastAsia="zh-CN"/>
        </w:rPr>
        <w:t>安排的指导思想：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坚持以习近平新时代中国特色社会主义思想为指导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全面贯彻落实党的二十大和二十届历次全会精神，深入贯彻落实习惯“过紧日子”思想，坚持稳中求进、以进促稳、先立后破，在转方式、调结构、提质量、增效益上积极进取,在支出上持续发力，在政策上强化落实，在运行中严防风险，突出绩效管理导向，进一步释放积极的财政政策效能，切实增强经济活力，防范化解风险，统筹好安全生产和经济社会发展，持续推动经济实现质的合理增长和量的有效提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 w14:paraId="67353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2024年预算编制原则：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一是坚持量入为出，收支平衡。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保持预算编制与国民经济和社会发展规划相一致，与单位履行职能相协调，与本级财力相适应。积极盘活财政存量资金，大力优化支出结构，确保全年财政收支平衡。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二是优化支出结构，突出重点保障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。提高资金配置效率，集中财力加强基础性、普惠性、兜底线民生保障建设，持续增进民生福祉。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三是统筹发展和安全，防范化解重大风险。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val="en-US" w:eastAsia="zh-CN"/>
        </w:rPr>
        <w:t>加强财政承受能力评估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val="en-US" w:eastAsia="zh-CN"/>
        </w:rPr>
        <w:t>强化政府债务管理，坚决遏制债务增量，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防范化解政府债务风险，确保财政稳健可持续运行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273ED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30" w:firstLineChars="196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highlight w:val="none"/>
        </w:rPr>
        <w:t>（一）一般公共预算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highlight w:val="none"/>
          <w:lang w:eastAsia="zh-CN"/>
        </w:rPr>
        <w:t>安排草案。</w:t>
      </w:r>
    </w:p>
    <w:p w14:paraId="78132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val="en-US" w:eastAsia="zh-CN"/>
        </w:rPr>
        <w:t>1.全县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一般公共预算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eastAsia="zh-CN"/>
        </w:rPr>
        <w:t>总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收入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val="en-US" w:eastAsia="zh-CN"/>
        </w:rPr>
        <w:t>385050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其中：县本级一般公共预算收入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122800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，自治区财政厅提前下达固定补助一般转移支付收入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120932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万元，提前下达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共同事权及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专项转移支付收入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36607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,上年结转104711万元。</w:t>
      </w:r>
    </w:p>
    <w:p w14:paraId="78DF4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val="en-US" w:eastAsia="zh-CN"/>
        </w:rPr>
        <w:t>2.全县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一般公共预算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eastAsia="zh-CN"/>
        </w:rPr>
        <w:t>总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支出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val="en-US" w:eastAsia="zh-CN"/>
        </w:rPr>
        <w:t>385050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其中：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基本预算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支出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100665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部门项目预算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80355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偿债等项目支出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62712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万元,提前下达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共同事权及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专项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转移支付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36607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，上年结转支出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104711万元。</w:t>
      </w:r>
    </w:p>
    <w:p w14:paraId="5A373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30" w:firstLineChars="196"/>
        <w:jc w:val="both"/>
        <w:textAlignment w:val="auto"/>
        <w:rPr>
          <w:rFonts w:hint="eastAsia" w:ascii="楷体_GB2312" w:hAnsi="楷体_GB2312" w:eastAsia="楷体_GB2312" w:cs="楷体_GB2312"/>
          <w:b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highlight w:val="none"/>
        </w:rPr>
        <w:t>（二）政府性基金预算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highlight w:val="none"/>
          <w:lang w:eastAsia="zh-CN"/>
        </w:rPr>
        <w:t>安排草案。</w:t>
      </w:r>
    </w:p>
    <w:p w14:paraId="3C63A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val="en-US" w:eastAsia="zh-CN"/>
        </w:rPr>
        <w:t>1.全县政府性基金预算总收入101525万元，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其中：土地出让金收入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97700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万元，污水处理费收入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2300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，上年结转1525万元。</w:t>
      </w:r>
    </w:p>
    <w:p w14:paraId="303A782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2.全县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政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府性基金预算支出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val="en-US" w:eastAsia="zh-CN"/>
        </w:rPr>
        <w:t>101525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其中：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部门项目预算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15386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偿债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等项目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84614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，上年结转支出1525万元。</w:t>
      </w:r>
    </w:p>
    <w:p w14:paraId="05C81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3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highlight w:val="none"/>
          <w:lang w:val="en-US" w:eastAsia="zh-CN"/>
        </w:rPr>
        <w:t>（三）国有资本经营预算安排草案。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国有资本经营预算收入89万元，其中：上级补助资金23万元，上年结转66万元。国有资本经营预算支出89万元。</w:t>
      </w:r>
    </w:p>
    <w:p w14:paraId="3A768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highlight w:val="none"/>
          <w:lang w:val="en-US" w:eastAsia="zh-CN"/>
        </w:rPr>
        <w:t>（四）社会保险基金预算安排草案。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社会保险基金预算收入166092万元，支出安排162459万元，年末滚存结余42005万元。</w:t>
      </w:r>
    </w:p>
    <w:p w14:paraId="54F14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（五）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highlight w:val="none"/>
          <w:lang w:val="en-US" w:eastAsia="zh-CN"/>
        </w:rPr>
        <w:t>政府法定债务到期偿还安排计划。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到期地方政府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法定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债券规模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64183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万元。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申请发行再融资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债券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55000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计划自有资金偿还9183万元。</w:t>
      </w:r>
    </w:p>
    <w:p w14:paraId="014D4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全力完成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2024年财政重点任务</w:t>
      </w:r>
    </w:p>
    <w:p w14:paraId="172A5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2024年，我们将全面贯彻落实党中央、区、市、县有关会议精神，围绕年度预算安排，加力提效实施积极的财政政策，着力推动全县经济社会高质量发展。</w:t>
      </w:r>
    </w:p>
    <w:p w14:paraId="75485C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highlight w:val="none"/>
          <w:lang w:eastAsia="zh-CN"/>
        </w:rPr>
        <w:t>夯实财源根基，完成全年收入目标。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一是强化综合治税。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进一步完善财源建设工作机制，加强财税部门协同配合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提高税源监控水平，科学研判税收形势，努力提升税收收入。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二是夯实财源基础。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坚持工业强县战略，发展特色农业，推动文旅产业深度融合，支持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中小微企业、个体工商户防范化解风险，培育新的财源增长点。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三是加强向上争引。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强化跑项目争资金意识，紧盯产业政策和投资重点，协同各部门提前谋划契合我县发展的重点项目，加强与区市沟通对接，努力将可获取的政策支持转化为可用财力，全力保障重点急需领域资金需求。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四是盘活国有资产资源。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拓宽非税收入渠道，积极盘活复耕土地、闲置国有资产、农村污水处理、公共停车场等收费项目资源经营权，保障全年一般公共预算收入增幅达到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6%。</w:t>
      </w:r>
    </w:p>
    <w:p w14:paraId="01271F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highlight w:val="none"/>
          <w:lang w:eastAsia="zh-CN"/>
        </w:rPr>
        <w:t>（二）兜牢“三保”底线，提升民生保障效力。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坚持“两个支出优先”原则，强化“三保”预算安排刚性力度，严格按照政策规定的保障范围和标准足额编列“三保”支出预算，从源头上确保基层“三保”不留“硬缺口”。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全县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安排基本民生支出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42477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用于支持教育事业均衡发展，全县教育资金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4734万元，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推动各类各级教育扩优提质；提升健康保障水平，全县卫生健康资金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6352万元，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大力提高医疗卫生服务能力；建立健全社会保障能力，全县社会保障资金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19821万元，着力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提高城乡居民社会保障水平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等民生支出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安排人员支出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95080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万元，主要用于在职人员工资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支出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65325万元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、离退休人员工资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支出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4399万元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、社会保险缴费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25356万元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安排运转支出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5585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主要用于各单位正常运转办公经费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4213万元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、学校生均公用经费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1372万元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2A0E3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3" w:firstLineChars="200"/>
        <w:jc w:val="both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highlight w:val="none"/>
        </w:rPr>
        <w:t>）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highlight w:val="none"/>
          <w:lang w:eastAsia="zh-CN"/>
        </w:rPr>
        <w:t>统筹发展和安全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eastAsia="zh-CN"/>
        </w:rPr>
        <w:t>，防范化解财政风险。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牢固树立底线思维，全力防范化解重点领域风险，确保全县财政更加平稳健康运行。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积极防范化解政府债务风险，全年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安排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114140万元，用于偿还债务本息及消化暂付款,其中：用于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偿还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政府法定债券还本付息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67183万元；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用于偿还建制县债务化解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银行贷款还本付息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38957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用于计划消化2024年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财政暂付款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8000万元。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坚决履行财政支持安全生产工作职责，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安排资金10500万元，主要用于安全生产领域及突发事件相关支出，全力提升安全生产及应急能力，切实保障人民群众生命财产安全。</w:t>
      </w:r>
    </w:p>
    <w:p w14:paraId="6C8153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60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（四）深化预算绩效管理，提升预算执行水平。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强化预算执行和绩效管理，健全以绩效为导向的预算分配体系，从源头上管控好预算执行和监督任务，督促推进重大财税政策执行到位、落地见效。认真落实绩效管理主体责任，健全以绩效为导向的预算分配体系，完善预算安排与绩效目标结果挂钩的激励约束机制，推动事前事中事后绩效管理闭环系统发挥实效，对重大政策、重大项目开展全生命周期跟踪评价，将评审结果作为预算安排的重要依据，以最小的财政投入实现最优的财政资源配置，推动预算执行和绩效管理一体化。</w:t>
      </w:r>
    </w:p>
    <w:p w14:paraId="7182B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highlight w:val="none"/>
          <w:lang w:eastAsia="zh-CN"/>
        </w:rPr>
        <w:t>（五）严肃财经纪律，完善法治财政体系。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严格执行财经法律法规和各项预算管理规定，按照预算管理制度改革要求，坚持先有预算、后有支出，严禁无预算、超预算安排支出，严禁突击花钱，维护预算的严肃性。强化财政监督职责，让财经纪律成为不可触碰的“高压线”。按照暂付款化解方案，落实还款主体责任，逐步清理消化存量。深刻认识审计反馈问题的重要性，加强问题整改力度，规范财政收支，及时纠正预算管理中存在的问题。</w:t>
      </w:r>
    </w:p>
    <w:p w14:paraId="7B040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sectPr>
          <w:pgSz w:w="11906" w:h="16838"/>
          <w:pgMar w:top="1701" w:right="1587" w:bottom="1587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各位代表，2024年财政工作任务艰巨，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预算执行难度较大，我们将继续以习近平新时代中国特色社会主义思想为指导，全面贯彻落实党的二十大和二十届历次全会精神及中央经济工作、全国财政工作会议精神，在县委、县政府的正确领导下，在县人大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、县政协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监督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和社会各界的鼎力支持下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，敢于担当，善于作为，勠力同心，统筹发展和安全，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高效落实稳住经济政策措施，以奋发有为的精神状态，努力完成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全年各项工作任务，为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全县经济社会高质量发展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做出新的贡献！</w:t>
      </w:r>
    </w:p>
    <w:p w14:paraId="6BB4F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解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释</w:t>
      </w:r>
    </w:p>
    <w:p w14:paraId="02D94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</w:p>
    <w:p w14:paraId="3CBC3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全口径预算：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是指中央或地方政府对全部收支实行统一、完整、全面、规范的预算管理。按照预算级次即指在本地区产生的各县（市）区级的总和。</w:t>
      </w:r>
    </w:p>
    <w:p w14:paraId="21EBA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一般公共预算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指政府凭借国家政治权力，以社会管理者身份筹集以税收为主体的财政收入，用于保障和改善民生、维持国家行政职能正常运转、保障国家安全等方面的收支预算。</w:t>
      </w:r>
    </w:p>
    <w:p w14:paraId="6A690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政府性基金预算：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是指政府通过向社会征收基金、收费，以及出让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土地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、发行彩票等方式取得收入，专项用于支持特定基础设施建设和社会事业发展等方面的收支预算。政府性基金预算应当根据基金项目收入情况和实际支出需要，按基金项目编制，做到以收定支。</w:t>
      </w:r>
    </w:p>
    <w:p w14:paraId="5A37D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国有资本经营预算：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是指国家以所有者身份依法取得国有资本收益，并对所得收益进行分配而发生的收支预算。国有资本经营预算支出按照当年预算收入规模安排，不列赤字。</w:t>
      </w:r>
    </w:p>
    <w:p w14:paraId="350A4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社会保险基金预算：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是指对社会保险缴款、一般公共预算安排和其他方式筹集的资金，专项用于社会保险的收支预算。社会保险基金预算应当按照统筹层次和社会保险项目分别编制，做到收支平衡。</w:t>
      </w:r>
    </w:p>
    <w:p w14:paraId="3D27A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税收收入：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是指政府为履行其职能，凭借政治权力，按照特定标准，强制、无偿地取得公共收入的一种形式。包括：增值税、企业所得税、个人所得税、资源税、城市维护建设税、房产税、印花税、城镇土地使用税、土地增值税、车船税、契税、耕地占用税等税收收入。</w:t>
      </w:r>
    </w:p>
    <w:p w14:paraId="6884A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非税收入：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是指一般公共预算收入中除税收以外的其他各项收入，包括：专项收入（包括教育费附加收入、残疾人就业保障金收入、广告收入等）、行政事业性收费收入、罚没收入、国有资本经营收入、国有资产有偿使用收入、其他收入等。</w:t>
      </w:r>
    </w:p>
    <w:p w14:paraId="737F0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上级转移支付：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是指上级对下级的一种补助，目的是弥补财政实力薄弱地区的财力缺口，均衡地区间财力差距，以实现各地公共服务均等化为目标，而实行的一种财政资金转移或财政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平衡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制度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目前转移支付主要由一般性转移支付和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项转移支付构成。</w:t>
      </w:r>
    </w:p>
    <w:p w14:paraId="5FD43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预算调整：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是指根据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预算法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规定，对于年度财政体制调整等因素给预算收入带来的变化，对收入预算进行调整，并将调整情况上报人大批准。与调整预算的区别在于预算总量保持不变。</w:t>
      </w:r>
    </w:p>
    <w:p w14:paraId="7939E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预算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稳定调节基金：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是指财政通过超收收入和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预算结余安排的具有储备性质的基金，视预算平衡情况，在安排下年度预算时调入并安排使用，或用于弥补短收年份预算执行的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收支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缺口，基金的安排使用接受同级人大及其常委会的监督。</w:t>
      </w:r>
    </w:p>
    <w:p w14:paraId="19EE3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地方政府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债券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是指经国务院批准同意，以省、自治区、直辖市和计划单列市政府为发行和偿还主体发行的地方政府债券，具体分为新增债券和再融资债券。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新增债券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是指由地方政府发行用于新增建设项目的债券；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再融资债券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是指由地方政府发行的债券用于偿还即将到期的地方政府债券。</w:t>
      </w:r>
    </w:p>
    <w:p w14:paraId="5FDD1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决算：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是指各级政府、各部门、各单位编制的经法定程序审查和批准的预算收支的年度执行结果。它反映和总结预算执行情况和结果，是社会经济活动在财政上的综合反映，是预算管理中不可缺少的环节。决算草案由各级政府、各部门、各单位在每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年度终了后按照国务院规定的时间编制。</w:t>
      </w:r>
    </w:p>
    <w:p w14:paraId="1E7C3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2" w:firstLineChars="200"/>
        <w:jc w:val="both"/>
        <w:textAlignment w:val="auto"/>
        <w:rPr>
          <w:rFonts w:hint="eastAsia" w:ascii="楷体_GB2312" w:hAnsi="宋体" w:eastAsia="楷体_GB2312" w:cs="Times New Roman"/>
          <w:b/>
          <w:bCs/>
          <w:color w:val="auto"/>
          <w:sz w:val="30"/>
          <w:szCs w:val="30"/>
        </w:rPr>
      </w:pPr>
    </w:p>
    <w:sectPr>
      <w:footerReference r:id="rId3" w:type="default"/>
      <w:pgSz w:w="11906" w:h="16838"/>
      <w:pgMar w:top="1701" w:right="1587" w:bottom="1587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方正小标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06277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1"/>
      <w:numFmt w:val="chineseCounting"/>
      <w:suff w:val="nothing"/>
      <w:lvlText w:val="（%1）"/>
      <w:lvlJc w:val="left"/>
      <w:rPr>
        <w:rFonts w:hint="eastAsia" w:ascii="楷体_GB2312" w:hAnsi="楷体_GB2312" w:eastAsia="楷体_GB2312" w:cs="楷体_GB2312"/>
        <w:b/>
        <w:bCs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4M2FjYTE1YzY5N2E5NjVjNjE1ZmI2NzYwMmRmYWUifQ=="/>
  </w:docVars>
  <w:rsids>
    <w:rsidRoot w:val="181255A9"/>
    <w:rsid w:val="02B03065"/>
    <w:rsid w:val="037B0468"/>
    <w:rsid w:val="03D90444"/>
    <w:rsid w:val="07A11279"/>
    <w:rsid w:val="08E51FB4"/>
    <w:rsid w:val="0DAD7FA0"/>
    <w:rsid w:val="10EE19D3"/>
    <w:rsid w:val="11D010D8"/>
    <w:rsid w:val="13EA4660"/>
    <w:rsid w:val="155DE25E"/>
    <w:rsid w:val="16950744"/>
    <w:rsid w:val="181255A9"/>
    <w:rsid w:val="1EBC3110"/>
    <w:rsid w:val="1F093E7B"/>
    <w:rsid w:val="1FFC12EA"/>
    <w:rsid w:val="25F50CB6"/>
    <w:rsid w:val="260B04D9"/>
    <w:rsid w:val="26E138CE"/>
    <w:rsid w:val="28A30EFE"/>
    <w:rsid w:val="2B45448D"/>
    <w:rsid w:val="2B714350"/>
    <w:rsid w:val="2E856726"/>
    <w:rsid w:val="31A90458"/>
    <w:rsid w:val="32AC3044"/>
    <w:rsid w:val="33541711"/>
    <w:rsid w:val="36C858F6"/>
    <w:rsid w:val="3D3D3216"/>
    <w:rsid w:val="3F3917BB"/>
    <w:rsid w:val="417B255F"/>
    <w:rsid w:val="43303711"/>
    <w:rsid w:val="43741014"/>
    <w:rsid w:val="4681606A"/>
    <w:rsid w:val="46F30DEA"/>
    <w:rsid w:val="4729480B"/>
    <w:rsid w:val="47BF437C"/>
    <w:rsid w:val="48BA11FA"/>
    <w:rsid w:val="4C9C0ED5"/>
    <w:rsid w:val="501A2F43"/>
    <w:rsid w:val="508B081D"/>
    <w:rsid w:val="50AB003F"/>
    <w:rsid w:val="5138240C"/>
    <w:rsid w:val="529516C0"/>
    <w:rsid w:val="52E26C7E"/>
    <w:rsid w:val="54AE00FE"/>
    <w:rsid w:val="54F2440B"/>
    <w:rsid w:val="551D59AF"/>
    <w:rsid w:val="560409E7"/>
    <w:rsid w:val="568221A3"/>
    <w:rsid w:val="56BF65F2"/>
    <w:rsid w:val="56C63E25"/>
    <w:rsid w:val="5B251AE4"/>
    <w:rsid w:val="5C2C0286"/>
    <w:rsid w:val="5EA46A80"/>
    <w:rsid w:val="60326087"/>
    <w:rsid w:val="617A7CE6"/>
    <w:rsid w:val="6280132C"/>
    <w:rsid w:val="647E338F"/>
    <w:rsid w:val="656134AB"/>
    <w:rsid w:val="67D30150"/>
    <w:rsid w:val="68126ECA"/>
    <w:rsid w:val="68D30B09"/>
    <w:rsid w:val="6AF51EEB"/>
    <w:rsid w:val="6EE3511C"/>
    <w:rsid w:val="6FA67EF8"/>
    <w:rsid w:val="71283699"/>
    <w:rsid w:val="72EA13D2"/>
    <w:rsid w:val="748B700A"/>
    <w:rsid w:val="75A82C1C"/>
    <w:rsid w:val="7A396538"/>
    <w:rsid w:val="7CE52AFC"/>
    <w:rsid w:val="7D5E1E12"/>
    <w:rsid w:val="7F9E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unhideWhenUsed/>
    <w:qFormat/>
    <w:uiPriority w:val="99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next w:val="6"/>
    <w:autoRedefine/>
    <w:qFormat/>
    <w:uiPriority w:val="0"/>
    <w:pPr>
      <w:snapToGrid w:val="0"/>
      <w:jc w:val="left"/>
    </w:pPr>
    <w:rPr>
      <w:sz w:val="18"/>
      <w:szCs w:val="18"/>
    </w:rPr>
  </w:style>
  <w:style w:type="paragraph" w:customStyle="1" w:styleId="6">
    <w:name w:val="正文首行缩进 21"/>
    <w:basedOn w:val="7"/>
    <w:next w:val="1"/>
    <w:autoRedefine/>
    <w:qFormat/>
    <w:uiPriority w:val="99"/>
    <w:pPr>
      <w:ind w:firstLine="420" w:firstLineChars="200"/>
    </w:pPr>
  </w:style>
  <w:style w:type="paragraph" w:customStyle="1" w:styleId="7">
    <w:name w:val="正文文本缩进1"/>
    <w:basedOn w:val="1"/>
    <w:next w:val="6"/>
    <w:qFormat/>
    <w:uiPriority w:val="0"/>
    <w:pPr>
      <w:ind w:left="420" w:leftChars="200"/>
    </w:pPr>
  </w:style>
  <w:style w:type="paragraph" w:customStyle="1" w:styleId="10">
    <w:name w:val="正文缩进1"/>
    <w:basedOn w:val="1"/>
    <w:autoRedefine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7075</Words>
  <Characters>7563</Characters>
  <Lines>0</Lines>
  <Paragraphs>0</Paragraphs>
  <TotalTime>74</TotalTime>
  <ScaleCrop>false</ScaleCrop>
  <LinksUpToDate>false</LinksUpToDate>
  <CharactersWithSpaces>7580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2024-01-02T09:10:00Z</dcterms:created>
  <dc:creator>HJL</dc:creator>
  <cp:lastModifiedBy>小富贵</cp:lastModifiedBy>
  <cp:lastPrinted>2024-01-03T16:07:00Z</cp:lastPrinted>
  <dcterms:modified xsi:type="dcterms:W3CDTF">2025-10-30T03:11:04Z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8905EBA0826F4575BE72F844B7A86927_13</vt:lpwstr>
  </property>
  <property fmtid="{D5CDD505-2E9C-101B-9397-08002B2CF9AE}" pid="4" name="KSOTemplateDocerSaveRecord">
    <vt:lpwstr>eyJoZGlkIjoiZTEzM2VlOThlZDAxYzE2NzEyN2JhODNhODdiNTdhNTEiLCJ1c2VySWQiOiI4MjQ1NDI1NjcifQ==</vt:lpwstr>
  </property>
</Properties>
</file>