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55E29">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auto"/>
          <w:sz w:val="44"/>
          <w:szCs w:val="44"/>
          <w:highlight w:val="none"/>
          <w:shd w:val="clear" w:color="auto" w:fill="auto"/>
        </w:rPr>
      </w:pPr>
      <w:r>
        <w:rPr>
          <w:rFonts w:hint="default" w:ascii="Times New Roman" w:hAnsi="Times New Roman" w:eastAsia="方正小标宋_GBK" w:cs="Times New Roman"/>
          <w:color w:val="auto"/>
          <w:sz w:val="44"/>
          <w:szCs w:val="44"/>
          <w:highlight w:val="none"/>
          <w:shd w:val="clear" w:color="auto" w:fill="auto"/>
        </w:rPr>
        <w:t>关于永宁县</w:t>
      </w:r>
      <w:r>
        <w:rPr>
          <w:rFonts w:hint="eastAsia" w:ascii="方正小标宋简体" w:hAnsi="方正小标宋简体" w:eastAsia="方正小标宋简体" w:cs="方正小标宋简体"/>
          <w:color w:val="auto"/>
          <w:sz w:val="44"/>
          <w:szCs w:val="44"/>
          <w:highlight w:val="none"/>
          <w:shd w:val="clear" w:color="auto" w:fill="auto"/>
        </w:rPr>
        <w:t>202</w:t>
      </w:r>
      <w:r>
        <w:rPr>
          <w:rFonts w:hint="eastAsia" w:ascii="方正小标宋简体" w:hAnsi="方正小标宋简体" w:eastAsia="方正小标宋简体" w:cs="方正小标宋简体"/>
          <w:color w:val="auto"/>
          <w:sz w:val="44"/>
          <w:szCs w:val="44"/>
          <w:highlight w:val="none"/>
          <w:shd w:val="clear" w:color="auto" w:fill="auto"/>
          <w:lang w:val="en-US" w:eastAsia="zh-CN"/>
        </w:rPr>
        <w:t>5</w:t>
      </w:r>
      <w:r>
        <w:rPr>
          <w:rFonts w:hint="eastAsia" w:ascii="方正小标宋简体" w:hAnsi="方正小标宋简体" w:eastAsia="方正小标宋简体" w:cs="方正小标宋简体"/>
          <w:color w:val="auto"/>
          <w:sz w:val="44"/>
          <w:szCs w:val="44"/>
          <w:highlight w:val="none"/>
          <w:shd w:val="clear" w:color="auto" w:fill="auto"/>
        </w:rPr>
        <w:t>年财政预算执行情况和</w:t>
      </w:r>
    </w:p>
    <w:p w14:paraId="5C8D7974">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default" w:ascii="Times New Roman" w:hAnsi="Times New Roman" w:eastAsia="方正小标宋_GBK" w:cs="Times New Roman"/>
          <w:color w:val="auto"/>
          <w:sz w:val="44"/>
          <w:szCs w:val="44"/>
          <w:highlight w:val="none"/>
          <w:shd w:val="clear" w:color="auto" w:fill="auto"/>
        </w:rPr>
      </w:pPr>
      <w:r>
        <w:rPr>
          <w:rFonts w:hint="eastAsia" w:ascii="方正小标宋简体" w:hAnsi="方正小标宋简体" w:eastAsia="方正小标宋简体" w:cs="方正小标宋简体"/>
          <w:color w:val="auto"/>
          <w:sz w:val="44"/>
          <w:szCs w:val="44"/>
          <w:highlight w:val="none"/>
          <w:shd w:val="clear" w:color="auto" w:fill="auto"/>
        </w:rPr>
        <w:t>202</w:t>
      </w:r>
      <w:r>
        <w:rPr>
          <w:rFonts w:hint="eastAsia" w:ascii="方正小标宋简体" w:hAnsi="方正小标宋简体" w:eastAsia="方正小标宋简体" w:cs="方正小标宋简体"/>
          <w:color w:val="auto"/>
          <w:sz w:val="44"/>
          <w:szCs w:val="44"/>
          <w:highlight w:val="none"/>
          <w:shd w:val="clear" w:color="auto" w:fill="auto"/>
          <w:lang w:val="en-US" w:eastAsia="zh-CN"/>
        </w:rPr>
        <w:t>6</w:t>
      </w:r>
      <w:r>
        <w:rPr>
          <w:rFonts w:hint="eastAsia" w:ascii="方正小标宋简体" w:hAnsi="方正小标宋简体" w:eastAsia="方正小标宋简体" w:cs="方正小标宋简体"/>
          <w:color w:val="auto"/>
          <w:sz w:val="44"/>
          <w:szCs w:val="44"/>
          <w:highlight w:val="none"/>
          <w:shd w:val="clear" w:color="auto" w:fill="auto"/>
        </w:rPr>
        <w:t>年</w:t>
      </w:r>
      <w:r>
        <w:rPr>
          <w:rFonts w:hint="eastAsia" w:ascii="方正小标宋简体" w:hAnsi="方正小标宋简体" w:eastAsia="方正小标宋简体" w:cs="方正小标宋简体"/>
          <w:color w:val="auto"/>
          <w:sz w:val="44"/>
          <w:szCs w:val="44"/>
          <w:highlight w:val="none"/>
          <w:shd w:val="clear" w:color="auto" w:fill="auto"/>
          <w:lang w:eastAsia="zh-CN"/>
        </w:rPr>
        <w:t>财政</w:t>
      </w:r>
      <w:r>
        <w:rPr>
          <w:rFonts w:hint="eastAsia" w:ascii="方正小标宋简体" w:hAnsi="方正小标宋简体" w:eastAsia="方正小标宋简体" w:cs="方正小标宋简体"/>
          <w:color w:val="auto"/>
          <w:sz w:val="44"/>
          <w:szCs w:val="44"/>
          <w:highlight w:val="none"/>
          <w:shd w:val="clear" w:color="auto" w:fill="auto"/>
        </w:rPr>
        <w:t>预</w:t>
      </w:r>
      <w:r>
        <w:rPr>
          <w:rFonts w:hint="default" w:ascii="Times New Roman" w:hAnsi="Times New Roman" w:eastAsia="方正小标宋_GBK" w:cs="Times New Roman"/>
          <w:color w:val="auto"/>
          <w:sz w:val="44"/>
          <w:szCs w:val="44"/>
          <w:highlight w:val="none"/>
          <w:shd w:val="clear" w:color="auto" w:fill="auto"/>
        </w:rPr>
        <w:t>算草案的报告</w:t>
      </w:r>
    </w:p>
    <w:p w14:paraId="247E9731">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eastAsia" w:ascii="仿宋_GB2312" w:hAnsi="仿宋_GB2312" w:eastAsia="仿宋_GB2312" w:cs="仿宋_GB2312"/>
          <w:b/>
          <w:bCs/>
          <w:color w:val="0C0C0C"/>
          <w:sz w:val="32"/>
          <w:szCs w:val="32"/>
        </w:rPr>
      </w:pPr>
    </w:p>
    <w:p w14:paraId="51501C95">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center"/>
        <w:textAlignment w:val="auto"/>
        <w:rPr>
          <w:rFonts w:hint="eastAsia" w:ascii="楷体" w:hAnsi="楷体" w:eastAsia="楷体" w:cs="楷体"/>
          <w:b/>
          <w:bCs/>
          <w:color w:val="0C0C0C"/>
          <w:sz w:val="32"/>
          <w:szCs w:val="32"/>
        </w:rPr>
      </w:pPr>
      <w:r>
        <w:rPr>
          <w:rFonts w:hint="eastAsia" w:ascii="楷体" w:hAnsi="楷体" w:eastAsia="楷体" w:cs="楷体"/>
          <w:b/>
          <w:bCs/>
          <w:color w:val="0C0C0C"/>
          <w:sz w:val="32"/>
          <w:szCs w:val="32"/>
        </w:rPr>
        <w:t>——</w:t>
      </w:r>
      <w:r>
        <w:rPr>
          <w:rFonts w:hint="eastAsia" w:ascii="楷体" w:hAnsi="楷体" w:eastAsia="楷体" w:cs="楷体"/>
          <w:b/>
          <w:bCs/>
          <w:color w:val="0C0C0C"/>
          <w:sz w:val="32"/>
          <w:szCs w:val="32"/>
          <w:lang w:val="en-US" w:eastAsia="zh-CN"/>
        </w:rPr>
        <w:t>2026</w:t>
      </w:r>
      <w:r>
        <w:rPr>
          <w:rFonts w:hint="eastAsia" w:ascii="楷体" w:hAnsi="楷体" w:eastAsia="楷体" w:cs="楷体"/>
          <w:b/>
          <w:bCs/>
          <w:color w:val="0C0C0C"/>
          <w:sz w:val="32"/>
          <w:szCs w:val="32"/>
        </w:rPr>
        <w:t>年</w:t>
      </w:r>
      <w:r>
        <w:rPr>
          <w:rFonts w:hint="eastAsia" w:ascii="楷体" w:hAnsi="楷体" w:eastAsia="楷体" w:cs="楷体"/>
          <w:b/>
          <w:bCs/>
          <w:color w:val="0C0C0C"/>
          <w:sz w:val="32"/>
          <w:szCs w:val="32"/>
          <w:lang w:val="en-US" w:eastAsia="zh-CN"/>
        </w:rPr>
        <w:t>1</w:t>
      </w:r>
      <w:r>
        <w:rPr>
          <w:rFonts w:hint="eastAsia" w:ascii="楷体" w:hAnsi="楷体" w:eastAsia="楷体" w:cs="楷体"/>
          <w:b/>
          <w:bCs/>
          <w:color w:val="0C0C0C"/>
          <w:sz w:val="32"/>
          <w:szCs w:val="32"/>
        </w:rPr>
        <w:t>月</w:t>
      </w:r>
      <w:r>
        <w:rPr>
          <w:rFonts w:hint="eastAsia" w:ascii="楷体" w:hAnsi="楷体" w:eastAsia="楷体" w:cs="楷体"/>
          <w:b/>
          <w:bCs/>
          <w:color w:val="0C0C0C"/>
          <w:sz w:val="32"/>
          <w:szCs w:val="32"/>
          <w:lang w:val="en-US" w:eastAsia="zh-CN"/>
        </w:rPr>
        <w:t>10</w:t>
      </w:r>
      <w:r>
        <w:rPr>
          <w:rFonts w:hint="eastAsia" w:ascii="楷体" w:hAnsi="楷体" w:eastAsia="楷体" w:cs="楷体"/>
          <w:b/>
          <w:bCs/>
          <w:color w:val="0C0C0C"/>
          <w:sz w:val="32"/>
          <w:szCs w:val="32"/>
        </w:rPr>
        <w:t>日在永宁县</w:t>
      </w:r>
      <w:r>
        <w:rPr>
          <w:rFonts w:hint="eastAsia" w:ascii="楷体" w:hAnsi="楷体" w:eastAsia="楷体" w:cs="楷体"/>
          <w:b/>
          <w:bCs/>
          <w:color w:val="0C0C0C"/>
          <w:sz w:val="32"/>
          <w:szCs w:val="32"/>
          <w:lang w:eastAsia="zh-CN"/>
        </w:rPr>
        <w:t>第</w:t>
      </w:r>
      <w:r>
        <w:rPr>
          <w:rFonts w:hint="eastAsia" w:ascii="楷体" w:hAnsi="楷体" w:eastAsia="楷体" w:cs="楷体"/>
          <w:b/>
          <w:bCs/>
          <w:color w:val="0C0C0C"/>
          <w:sz w:val="32"/>
          <w:szCs w:val="32"/>
        </w:rPr>
        <w:t>十九届</w:t>
      </w:r>
    </w:p>
    <w:p w14:paraId="212656BB">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楷体" w:hAnsi="楷体" w:eastAsia="楷体" w:cs="楷体"/>
          <w:b/>
          <w:bCs/>
          <w:color w:val="0C0C0C"/>
          <w:sz w:val="32"/>
          <w:szCs w:val="32"/>
        </w:rPr>
      </w:pPr>
      <w:r>
        <w:rPr>
          <w:rFonts w:hint="eastAsia" w:ascii="楷体" w:hAnsi="楷体" w:eastAsia="楷体" w:cs="楷体"/>
          <w:b/>
          <w:bCs/>
          <w:color w:val="0C0C0C"/>
          <w:sz w:val="32"/>
          <w:szCs w:val="32"/>
        </w:rPr>
        <w:t>人民代表大会第</w:t>
      </w:r>
      <w:r>
        <w:rPr>
          <w:rFonts w:hint="eastAsia" w:ascii="楷体" w:hAnsi="楷体" w:eastAsia="楷体" w:cs="楷体"/>
          <w:b/>
          <w:bCs/>
          <w:color w:val="0C0C0C"/>
          <w:sz w:val="32"/>
          <w:szCs w:val="32"/>
          <w:lang w:eastAsia="zh-CN"/>
        </w:rPr>
        <w:t>五</w:t>
      </w:r>
      <w:r>
        <w:rPr>
          <w:rFonts w:hint="eastAsia" w:ascii="楷体" w:hAnsi="楷体" w:eastAsia="楷体" w:cs="楷体"/>
          <w:b/>
          <w:bCs/>
          <w:color w:val="0C0C0C"/>
          <w:sz w:val="32"/>
          <w:szCs w:val="32"/>
        </w:rPr>
        <w:t>次会议上</w:t>
      </w:r>
    </w:p>
    <w:p w14:paraId="0C18083F">
      <w:pPr>
        <w:keepNext w:val="0"/>
        <w:keepLines w:val="0"/>
        <w:pageBreakBefore w:val="0"/>
        <w:widowControl w:val="0"/>
        <w:kinsoku/>
        <w:wordWrap/>
        <w:overflowPunct/>
        <w:topLinePunct w:val="0"/>
        <w:autoSpaceDE/>
        <w:autoSpaceDN/>
        <w:bidi w:val="0"/>
        <w:adjustRightInd/>
        <w:snapToGrid/>
        <w:spacing w:line="540" w:lineRule="exact"/>
        <w:ind w:left="0" w:firstLine="0" w:firstLineChars="0"/>
        <w:jc w:val="center"/>
        <w:textAlignment w:val="auto"/>
        <w:rPr>
          <w:rFonts w:hint="eastAsia" w:ascii="楷体" w:hAnsi="楷体" w:eastAsia="楷体" w:cs="楷体"/>
          <w:b/>
          <w:bCs/>
          <w:color w:val="auto"/>
          <w:sz w:val="32"/>
          <w:szCs w:val="32"/>
          <w:highlight w:val="none"/>
          <w:shd w:val="clear" w:color="auto" w:fill="auto"/>
          <w:lang w:eastAsia="zh-CN"/>
        </w:rPr>
      </w:pPr>
    </w:p>
    <w:p w14:paraId="567E0957">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楷体" w:hAnsi="楷体" w:eastAsia="楷体" w:cs="楷体"/>
          <w:b/>
          <w:bCs/>
          <w:color w:val="auto"/>
          <w:sz w:val="32"/>
          <w:szCs w:val="32"/>
          <w:highlight w:val="none"/>
          <w:shd w:val="clear" w:color="auto" w:fill="auto"/>
        </w:rPr>
      </w:pPr>
      <w:r>
        <w:rPr>
          <w:rFonts w:hint="eastAsia" w:ascii="楷体" w:hAnsi="楷体" w:eastAsia="楷体" w:cs="楷体"/>
          <w:b/>
          <w:bCs/>
          <w:color w:val="auto"/>
          <w:sz w:val="32"/>
          <w:szCs w:val="32"/>
          <w:highlight w:val="none"/>
          <w:shd w:val="clear" w:color="auto" w:fill="auto"/>
          <w:lang w:eastAsia="zh-CN"/>
        </w:rPr>
        <w:t>永宁县财政局</w:t>
      </w:r>
    </w:p>
    <w:p w14:paraId="49281072">
      <w:pPr>
        <w:keepNext w:val="0"/>
        <w:keepLines w:val="0"/>
        <w:pageBreakBefore w:val="0"/>
        <w:widowControl w:val="0"/>
        <w:kinsoku/>
        <w:wordWrap/>
        <w:overflowPunct/>
        <w:topLinePunct w:val="0"/>
        <w:autoSpaceDN/>
        <w:bidi w:val="0"/>
        <w:adjustRightInd/>
        <w:snapToGrid/>
        <w:spacing w:line="540" w:lineRule="exact"/>
        <w:ind w:left="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p>
    <w:p w14:paraId="5DF31592">
      <w:pPr>
        <w:keepNext w:val="0"/>
        <w:keepLines w:val="0"/>
        <w:pageBreakBefore w:val="0"/>
        <w:widowControl w:val="0"/>
        <w:kinsoku/>
        <w:wordWrap/>
        <w:overflowPunct/>
        <w:topLinePunct w:val="0"/>
        <w:autoSpaceDN/>
        <w:bidi w:val="0"/>
        <w:adjustRightInd/>
        <w:snapToGrid/>
        <w:spacing w:line="540" w:lineRule="exact"/>
        <w:jc w:val="both"/>
        <w:textAlignment w:val="auto"/>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rPr>
        <w:t>各位代表：</w:t>
      </w:r>
    </w:p>
    <w:p w14:paraId="4CAB6309">
      <w:pPr>
        <w:keepNext w:val="0"/>
        <w:keepLines w:val="0"/>
        <w:pageBreakBefore w:val="0"/>
        <w:widowControl w:val="0"/>
        <w:kinsoku/>
        <w:wordWrap/>
        <w:overflowPunct/>
        <w:topLinePunct w:val="0"/>
        <w:autoSpaceDN/>
        <w:bidi w:val="0"/>
        <w:adjustRightInd/>
        <w:snapToGrid/>
        <w:spacing w:line="540" w:lineRule="exact"/>
        <w:ind w:firstLine="616" w:firstLineChars="200"/>
        <w:jc w:val="both"/>
        <w:textAlignment w:val="auto"/>
        <w:rPr>
          <w:rFonts w:hint="eastAsia" w:ascii="仿宋_GB2312" w:hAnsi="仿宋_GB2312" w:eastAsia="仿宋_GB2312" w:cs="仿宋_GB2312"/>
          <w:color w:val="auto"/>
          <w:spacing w:val="-6"/>
          <w:sz w:val="32"/>
          <w:szCs w:val="32"/>
          <w:highlight w:val="none"/>
          <w:shd w:val="clear" w:color="auto" w:fill="auto"/>
        </w:rPr>
      </w:pPr>
      <w:r>
        <w:rPr>
          <w:rFonts w:hint="eastAsia" w:ascii="仿宋_GB2312" w:hAnsi="仿宋_GB2312" w:eastAsia="仿宋_GB2312" w:cs="仿宋_GB2312"/>
          <w:color w:val="auto"/>
          <w:spacing w:val="-6"/>
          <w:sz w:val="32"/>
          <w:szCs w:val="32"/>
          <w:highlight w:val="none"/>
          <w:shd w:val="clear" w:color="auto" w:fill="auto"/>
        </w:rPr>
        <w:t>受县人民政府委托，现将202</w:t>
      </w:r>
      <w:r>
        <w:rPr>
          <w:rFonts w:hint="eastAsia" w:ascii="仿宋_GB2312" w:hAnsi="仿宋_GB2312" w:eastAsia="仿宋_GB2312" w:cs="仿宋_GB2312"/>
          <w:color w:val="auto"/>
          <w:spacing w:val="-6"/>
          <w:sz w:val="32"/>
          <w:szCs w:val="32"/>
          <w:highlight w:val="none"/>
          <w:shd w:val="clear" w:color="auto" w:fill="auto"/>
          <w:lang w:val="en-US" w:eastAsia="zh-CN"/>
        </w:rPr>
        <w:t>5</w:t>
      </w:r>
      <w:r>
        <w:rPr>
          <w:rFonts w:hint="eastAsia" w:ascii="仿宋_GB2312" w:hAnsi="仿宋_GB2312" w:eastAsia="仿宋_GB2312" w:cs="仿宋_GB2312"/>
          <w:color w:val="auto"/>
          <w:spacing w:val="-6"/>
          <w:sz w:val="32"/>
          <w:szCs w:val="32"/>
          <w:highlight w:val="none"/>
          <w:shd w:val="clear" w:color="auto" w:fill="auto"/>
        </w:rPr>
        <w:t>年财政预算执行情况和202</w:t>
      </w:r>
      <w:r>
        <w:rPr>
          <w:rFonts w:hint="eastAsia" w:ascii="仿宋_GB2312" w:hAnsi="仿宋_GB2312" w:eastAsia="仿宋_GB2312" w:cs="仿宋_GB2312"/>
          <w:color w:val="auto"/>
          <w:spacing w:val="-6"/>
          <w:sz w:val="32"/>
          <w:szCs w:val="32"/>
          <w:highlight w:val="none"/>
          <w:shd w:val="clear" w:color="auto" w:fill="auto"/>
          <w:lang w:val="en-US" w:eastAsia="zh-CN"/>
        </w:rPr>
        <w:t>6</w:t>
      </w:r>
      <w:r>
        <w:rPr>
          <w:rFonts w:hint="eastAsia" w:ascii="仿宋_GB2312" w:hAnsi="仿宋_GB2312" w:eastAsia="仿宋_GB2312" w:cs="仿宋_GB2312"/>
          <w:color w:val="auto"/>
          <w:spacing w:val="-6"/>
          <w:sz w:val="32"/>
          <w:szCs w:val="32"/>
          <w:highlight w:val="none"/>
          <w:shd w:val="clear" w:color="auto" w:fill="auto"/>
        </w:rPr>
        <w:t>年</w:t>
      </w:r>
      <w:r>
        <w:rPr>
          <w:rFonts w:hint="eastAsia" w:ascii="仿宋_GB2312" w:hAnsi="仿宋_GB2312" w:eastAsia="仿宋_GB2312" w:cs="仿宋_GB2312"/>
          <w:color w:val="auto"/>
          <w:spacing w:val="-6"/>
          <w:sz w:val="32"/>
          <w:szCs w:val="32"/>
          <w:highlight w:val="none"/>
          <w:shd w:val="clear" w:color="auto" w:fill="auto"/>
          <w:lang w:val="en-US" w:eastAsia="zh-CN"/>
        </w:rPr>
        <w:t>财政</w:t>
      </w:r>
      <w:r>
        <w:rPr>
          <w:rFonts w:hint="eastAsia" w:ascii="仿宋_GB2312" w:hAnsi="仿宋_GB2312" w:eastAsia="仿宋_GB2312" w:cs="仿宋_GB2312"/>
          <w:color w:val="auto"/>
          <w:spacing w:val="-6"/>
          <w:sz w:val="32"/>
          <w:szCs w:val="32"/>
          <w:highlight w:val="none"/>
          <w:shd w:val="clear" w:color="auto" w:fill="auto"/>
        </w:rPr>
        <w:t>预算草案提请大会审议，并请各位</w:t>
      </w:r>
      <w:r>
        <w:rPr>
          <w:rFonts w:hint="eastAsia" w:ascii="仿宋_GB2312" w:hAnsi="仿宋_GB2312" w:eastAsia="仿宋_GB2312" w:cs="仿宋_GB2312"/>
          <w:color w:val="auto"/>
          <w:spacing w:val="-6"/>
          <w:sz w:val="32"/>
          <w:szCs w:val="32"/>
          <w:highlight w:val="none"/>
          <w:shd w:val="clear" w:color="auto" w:fill="auto"/>
          <w:lang w:eastAsia="zh-CN"/>
        </w:rPr>
        <w:t>政协</w:t>
      </w:r>
      <w:r>
        <w:rPr>
          <w:rFonts w:hint="eastAsia" w:ascii="仿宋_GB2312" w:hAnsi="仿宋_GB2312" w:eastAsia="仿宋_GB2312" w:cs="仿宋_GB2312"/>
          <w:color w:val="auto"/>
          <w:spacing w:val="-6"/>
          <w:sz w:val="32"/>
          <w:szCs w:val="32"/>
          <w:highlight w:val="none"/>
          <w:shd w:val="clear" w:color="auto" w:fill="auto"/>
        </w:rPr>
        <w:t>委员</w:t>
      </w:r>
      <w:r>
        <w:rPr>
          <w:rFonts w:hint="eastAsia" w:ascii="仿宋_GB2312" w:hAnsi="仿宋_GB2312" w:eastAsia="仿宋_GB2312" w:cs="仿宋_GB2312"/>
          <w:color w:val="auto"/>
          <w:spacing w:val="-6"/>
          <w:sz w:val="32"/>
          <w:szCs w:val="32"/>
          <w:highlight w:val="none"/>
          <w:shd w:val="clear" w:color="auto" w:fill="auto"/>
          <w:lang w:eastAsia="zh-CN"/>
        </w:rPr>
        <w:t>和其他列席人员</w:t>
      </w:r>
      <w:r>
        <w:rPr>
          <w:rFonts w:hint="eastAsia" w:ascii="仿宋_GB2312" w:hAnsi="仿宋_GB2312" w:eastAsia="仿宋_GB2312" w:cs="仿宋_GB2312"/>
          <w:color w:val="auto"/>
          <w:spacing w:val="-6"/>
          <w:sz w:val="32"/>
          <w:szCs w:val="32"/>
          <w:highlight w:val="none"/>
          <w:shd w:val="clear" w:color="auto" w:fill="auto"/>
        </w:rPr>
        <w:t>提出意见。</w:t>
      </w:r>
    </w:p>
    <w:p w14:paraId="7AD063EF">
      <w:pPr>
        <w:keepNext w:val="0"/>
        <w:keepLines w:val="0"/>
        <w:pageBreakBefore w:val="0"/>
        <w:widowControl w:val="0"/>
        <w:kinsoku/>
        <w:wordWrap/>
        <w:overflowPunct/>
        <w:topLinePunct w:val="0"/>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highlight w:val="none"/>
          <w:shd w:val="clear" w:color="auto" w:fill="auto"/>
          <w:lang w:val="en-US" w:eastAsia="zh-CN"/>
        </w:rPr>
      </w:pPr>
      <w:r>
        <w:rPr>
          <w:rFonts w:hint="eastAsia" w:ascii="黑体" w:hAnsi="黑体" w:eastAsia="黑体" w:cs="黑体"/>
          <w:color w:val="auto"/>
          <w:sz w:val="32"/>
          <w:szCs w:val="32"/>
          <w:highlight w:val="none"/>
          <w:shd w:val="clear" w:color="auto" w:fill="auto"/>
          <w:lang w:val="en-US" w:eastAsia="zh-CN"/>
        </w:rPr>
        <w:t>一、2025年财政预算执行及财政工作情况</w:t>
      </w:r>
    </w:p>
    <w:p w14:paraId="7D76BC2D">
      <w:pPr>
        <w:keepNext w:val="0"/>
        <w:keepLines w:val="0"/>
        <w:pageBreakBefore w:val="0"/>
        <w:widowControl w:val="0"/>
        <w:kinsoku/>
        <w:wordWrap/>
        <w:overflowPunct/>
        <w:topLinePunct w:val="0"/>
        <w:autoSpaceDN/>
        <w:bidi w:val="0"/>
        <w:adjustRightInd/>
        <w:snapToGrid/>
        <w:spacing w:line="540" w:lineRule="exact"/>
        <w:ind w:left="0" w:firstLine="616"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pacing w:val="-6"/>
          <w:sz w:val="32"/>
          <w:szCs w:val="32"/>
          <w:highlight w:val="none"/>
          <w:shd w:val="clear" w:color="auto" w:fill="auto"/>
        </w:rPr>
        <w:t>2025年是</w:t>
      </w:r>
      <w:r>
        <w:rPr>
          <w:rFonts w:hint="eastAsia" w:ascii="仿宋_GB2312" w:hAnsi="仿宋_GB2312" w:eastAsia="仿宋_GB2312" w:cs="仿宋_GB2312"/>
          <w:color w:val="auto"/>
          <w:spacing w:val="-6"/>
          <w:sz w:val="32"/>
          <w:szCs w:val="32"/>
          <w:highlight w:val="none"/>
          <w:shd w:val="clear" w:color="auto" w:fill="auto"/>
          <w:lang w:eastAsia="zh-CN"/>
        </w:rPr>
        <w:t>“</w:t>
      </w:r>
      <w:r>
        <w:rPr>
          <w:rFonts w:hint="eastAsia" w:ascii="仿宋_GB2312" w:hAnsi="仿宋_GB2312" w:eastAsia="仿宋_GB2312" w:cs="仿宋_GB2312"/>
          <w:color w:val="auto"/>
          <w:spacing w:val="-6"/>
          <w:sz w:val="32"/>
          <w:szCs w:val="32"/>
          <w:highlight w:val="none"/>
          <w:shd w:val="clear" w:color="auto" w:fill="auto"/>
        </w:rPr>
        <w:t>十四五</w:t>
      </w:r>
      <w:r>
        <w:rPr>
          <w:rFonts w:hint="eastAsia" w:ascii="仿宋_GB2312" w:hAnsi="仿宋_GB2312" w:eastAsia="仿宋_GB2312" w:cs="仿宋_GB2312"/>
          <w:color w:val="auto"/>
          <w:spacing w:val="-6"/>
          <w:sz w:val="32"/>
          <w:szCs w:val="32"/>
          <w:highlight w:val="none"/>
          <w:shd w:val="clear" w:color="auto" w:fill="auto"/>
          <w:lang w:eastAsia="zh-CN"/>
        </w:rPr>
        <w:t>”</w:t>
      </w:r>
      <w:r>
        <w:rPr>
          <w:rFonts w:hint="eastAsia" w:ascii="仿宋_GB2312" w:hAnsi="仿宋_GB2312" w:eastAsia="仿宋_GB2312" w:cs="仿宋_GB2312"/>
          <w:color w:val="auto"/>
          <w:spacing w:val="-6"/>
          <w:sz w:val="32"/>
          <w:szCs w:val="32"/>
          <w:highlight w:val="none"/>
          <w:shd w:val="clear" w:color="auto" w:fill="auto"/>
        </w:rPr>
        <w:t>规划收官决胜的关键之年。五年来，</w:t>
      </w:r>
      <w:r>
        <w:rPr>
          <w:rFonts w:hint="eastAsia" w:ascii="仿宋_GB2312" w:hAnsi="仿宋_GB2312" w:eastAsia="仿宋_GB2312" w:cs="仿宋_GB2312"/>
          <w:color w:val="auto"/>
          <w:sz w:val="32"/>
          <w:szCs w:val="32"/>
          <w:highlight w:val="none"/>
          <w:shd w:val="clear" w:color="auto" w:fill="auto"/>
        </w:rPr>
        <w:t>全县财政工作始终以习近平新时代中国特色社会主义思想为根本遵循，深入学习贯彻党的二十大及二十届历次全会精神，全面落实习近平总书记考察宁夏重要讲话精神，紧紧围绕中央经济工作会议</w:t>
      </w:r>
      <w:r>
        <w:rPr>
          <w:rFonts w:hint="eastAsia" w:ascii="仿宋_GB2312" w:hAnsi="仿宋_GB2312" w:eastAsia="仿宋_GB2312" w:cs="仿宋_GB2312"/>
          <w:color w:val="auto"/>
          <w:sz w:val="32"/>
          <w:szCs w:val="32"/>
          <w:highlight w:val="none"/>
          <w:shd w:val="clear" w:color="auto" w:fill="auto"/>
          <w:lang w:eastAsia="zh-CN"/>
        </w:rPr>
        <w:t>、全国财政工作会议</w:t>
      </w:r>
      <w:r>
        <w:rPr>
          <w:rFonts w:hint="eastAsia" w:ascii="仿宋_GB2312" w:hAnsi="仿宋_GB2312" w:eastAsia="仿宋_GB2312" w:cs="仿宋_GB2312"/>
          <w:color w:val="auto"/>
          <w:sz w:val="32"/>
          <w:szCs w:val="32"/>
          <w:highlight w:val="none"/>
          <w:shd w:val="clear" w:color="auto" w:fill="auto"/>
        </w:rPr>
        <w:t>及区、市、县党委政府决策部署，坚持稳中求进工作总基调，完整、准确、全面贯彻新发展理念，积极服务和融入新发展格局。</w:t>
      </w:r>
    </w:p>
    <w:p w14:paraId="11D24528">
      <w:pPr>
        <w:keepNext w:val="0"/>
        <w:keepLines w:val="0"/>
        <w:pageBreakBefore w:val="0"/>
        <w:widowControl w:val="0"/>
        <w:kinsoku/>
        <w:wordWrap/>
        <w:overflowPunct/>
        <w:topLinePunct w:val="0"/>
        <w:autoSpaceDN/>
        <w:bidi w:val="0"/>
        <w:adjustRightInd/>
        <w:snapToGrid/>
        <w:spacing w:line="540" w:lineRule="exact"/>
        <w:ind w:firstLine="640" w:firstLineChars="200"/>
        <w:jc w:val="both"/>
        <w:textAlignment w:val="auto"/>
        <w:rPr>
          <w:rFonts w:hint="eastAsia" w:ascii="仿宋_GB2312" w:hAnsi="仿宋_GB2312" w:eastAsia="仿宋_GB2312" w:cs="仿宋_GB2312"/>
          <w:bCs/>
          <w:color w:val="auto"/>
          <w:sz w:val="32"/>
          <w:szCs w:val="32"/>
          <w:highlight w:val="none"/>
          <w:shd w:val="clear" w:color="auto" w:fill="auto"/>
        </w:rPr>
      </w:pPr>
      <w:r>
        <w:rPr>
          <w:rFonts w:hint="eastAsia" w:ascii="仿宋_GB2312" w:hAnsi="仿宋_GB2312" w:eastAsia="仿宋_GB2312" w:cs="仿宋_GB2312"/>
          <w:bCs/>
          <w:color w:val="auto"/>
          <w:sz w:val="32"/>
          <w:szCs w:val="32"/>
          <w:highlight w:val="none"/>
          <w:shd w:val="clear" w:color="auto" w:fill="auto"/>
        </w:rPr>
        <w:t>我们锚定高质量发展首要任务，实施更加积极有为的财政政策，全力以赴促增收、保民生、强监管、化风险，财政运行呈现</w:t>
      </w:r>
      <w:r>
        <w:rPr>
          <w:rFonts w:hint="eastAsia" w:ascii="仿宋_GB2312" w:hAnsi="仿宋_GB2312" w:eastAsia="仿宋_GB2312" w:cs="仿宋_GB2312"/>
          <w:bCs/>
          <w:color w:val="auto"/>
          <w:sz w:val="32"/>
          <w:szCs w:val="32"/>
          <w:highlight w:val="none"/>
          <w:shd w:val="clear" w:color="auto" w:fill="auto"/>
          <w:lang w:eastAsia="zh-CN"/>
        </w:rPr>
        <w:t>“</w:t>
      </w:r>
      <w:r>
        <w:rPr>
          <w:rFonts w:hint="eastAsia" w:ascii="仿宋_GB2312" w:hAnsi="仿宋_GB2312" w:eastAsia="仿宋_GB2312" w:cs="仿宋_GB2312"/>
          <w:bCs/>
          <w:color w:val="auto"/>
          <w:sz w:val="32"/>
          <w:szCs w:val="32"/>
          <w:highlight w:val="none"/>
          <w:shd w:val="clear" w:color="auto" w:fill="auto"/>
        </w:rPr>
        <w:t>总量稳步增长、结构持续优化、效能不断提升、风险有效缓释</w:t>
      </w:r>
      <w:r>
        <w:rPr>
          <w:rFonts w:hint="eastAsia" w:ascii="仿宋_GB2312" w:hAnsi="仿宋_GB2312" w:eastAsia="仿宋_GB2312" w:cs="仿宋_GB2312"/>
          <w:bCs/>
          <w:color w:val="auto"/>
          <w:sz w:val="32"/>
          <w:szCs w:val="32"/>
          <w:highlight w:val="none"/>
          <w:shd w:val="clear" w:color="auto" w:fill="auto"/>
          <w:lang w:eastAsia="zh-CN"/>
        </w:rPr>
        <w:t>”</w:t>
      </w:r>
      <w:r>
        <w:rPr>
          <w:rFonts w:hint="eastAsia" w:ascii="仿宋_GB2312" w:hAnsi="仿宋_GB2312" w:eastAsia="仿宋_GB2312" w:cs="仿宋_GB2312"/>
          <w:bCs/>
          <w:color w:val="auto"/>
          <w:sz w:val="32"/>
          <w:szCs w:val="32"/>
          <w:highlight w:val="none"/>
          <w:shd w:val="clear" w:color="auto" w:fill="auto"/>
        </w:rPr>
        <w:t>的良好态势。五年来，累计完成地方财政收入80.</w:t>
      </w:r>
      <w:r>
        <w:rPr>
          <w:rFonts w:hint="eastAsia" w:ascii="仿宋_GB2312" w:hAnsi="仿宋_GB2312" w:eastAsia="仿宋_GB2312" w:cs="仿宋_GB2312"/>
          <w:bCs/>
          <w:color w:val="auto"/>
          <w:sz w:val="32"/>
          <w:szCs w:val="32"/>
          <w:highlight w:val="none"/>
          <w:shd w:val="clear" w:color="auto" w:fill="auto"/>
          <w:lang w:val="en-US" w:eastAsia="zh-CN"/>
        </w:rPr>
        <w:t>2</w:t>
      </w:r>
      <w:r>
        <w:rPr>
          <w:rFonts w:hint="eastAsia" w:ascii="仿宋_GB2312" w:hAnsi="仿宋_GB2312" w:eastAsia="仿宋_GB2312" w:cs="仿宋_GB2312"/>
          <w:bCs/>
          <w:color w:val="auto"/>
          <w:sz w:val="32"/>
          <w:szCs w:val="32"/>
          <w:highlight w:val="none"/>
          <w:shd w:val="clear" w:color="auto" w:fill="auto"/>
        </w:rPr>
        <w:t>亿元，</w:t>
      </w:r>
      <w:r>
        <w:rPr>
          <w:rFonts w:hint="eastAsia" w:ascii="仿宋_GB2312" w:hAnsi="仿宋_GB2312" w:eastAsia="仿宋_GB2312" w:cs="仿宋_GB2312"/>
          <w:bCs/>
          <w:color w:val="auto"/>
          <w:sz w:val="32"/>
          <w:szCs w:val="32"/>
          <w:highlight w:val="none"/>
          <w:shd w:val="clear" w:color="auto" w:fill="auto"/>
          <w:lang w:eastAsia="zh-CN"/>
        </w:rPr>
        <w:t>完成</w:t>
      </w:r>
      <w:r>
        <w:rPr>
          <w:rFonts w:hint="eastAsia" w:ascii="仿宋_GB2312" w:hAnsi="仿宋_GB2312" w:eastAsia="仿宋_GB2312" w:cs="仿宋_GB2312"/>
          <w:bCs/>
          <w:color w:val="auto"/>
          <w:sz w:val="32"/>
          <w:szCs w:val="32"/>
          <w:highlight w:val="none"/>
          <w:shd w:val="clear" w:color="auto" w:fill="auto"/>
        </w:rPr>
        <w:t>财政支出</w:t>
      </w:r>
      <w:r>
        <w:rPr>
          <w:rFonts w:hint="eastAsia" w:ascii="仿宋_GB2312" w:hAnsi="仿宋_GB2312" w:eastAsia="仿宋_GB2312" w:cs="仿宋_GB2312"/>
          <w:bCs/>
          <w:color w:val="auto"/>
          <w:sz w:val="32"/>
          <w:szCs w:val="32"/>
          <w:highlight w:val="none"/>
          <w:shd w:val="clear" w:color="auto" w:fill="auto"/>
          <w:lang w:val="en-US" w:eastAsia="zh-CN"/>
        </w:rPr>
        <w:t>215.4</w:t>
      </w:r>
      <w:r>
        <w:rPr>
          <w:rFonts w:hint="eastAsia" w:ascii="仿宋_GB2312" w:hAnsi="仿宋_GB2312" w:eastAsia="仿宋_GB2312" w:cs="仿宋_GB2312"/>
          <w:bCs/>
          <w:color w:val="auto"/>
          <w:sz w:val="32"/>
          <w:szCs w:val="32"/>
          <w:highlight w:val="none"/>
          <w:shd w:val="clear" w:color="auto" w:fill="auto"/>
        </w:rPr>
        <w:t>亿元，争取各类政府债券资金92.</w:t>
      </w:r>
      <w:r>
        <w:rPr>
          <w:rFonts w:hint="eastAsia" w:ascii="仿宋_GB2312" w:hAnsi="仿宋_GB2312" w:eastAsia="仿宋_GB2312" w:cs="仿宋_GB2312"/>
          <w:bCs/>
          <w:color w:val="auto"/>
          <w:sz w:val="32"/>
          <w:szCs w:val="32"/>
          <w:highlight w:val="none"/>
          <w:shd w:val="clear" w:color="auto" w:fill="auto"/>
          <w:lang w:val="en-US" w:eastAsia="zh-CN"/>
        </w:rPr>
        <w:t>6</w:t>
      </w:r>
      <w:r>
        <w:rPr>
          <w:rFonts w:hint="eastAsia" w:ascii="仿宋_GB2312" w:hAnsi="仿宋_GB2312" w:eastAsia="仿宋_GB2312" w:cs="仿宋_GB2312"/>
          <w:bCs/>
          <w:color w:val="auto"/>
          <w:sz w:val="32"/>
          <w:szCs w:val="32"/>
          <w:highlight w:val="none"/>
          <w:shd w:val="clear" w:color="auto" w:fill="auto"/>
        </w:rPr>
        <w:t>亿元</w:t>
      </w:r>
      <w:r>
        <w:rPr>
          <w:rFonts w:hint="eastAsia" w:ascii="仿宋_GB2312" w:hAnsi="仿宋_GB2312" w:eastAsia="仿宋_GB2312" w:cs="仿宋_GB2312"/>
          <w:bCs/>
          <w:color w:val="auto"/>
          <w:sz w:val="32"/>
          <w:szCs w:val="32"/>
          <w:highlight w:val="none"/>
          <w:shd w:val="clear" w:color="auto" w:fill="auto"/>
          <w:lang w:eastAsia="zh-CN"/>
        </w:rPr>
        <w:t>，</w:t>
      </w:r>
      <w:r>
        <w:rPr>
          <w:rFonts w:hint="eastAsia" w:ascii="仿宋_GB2312" w:hAnsi="仿宋_GB2312" w:eastAsia="仿宋_GB2312" w:cs="仿宋_GB2312"/>
          <w:bCs/>
          <w:color w:val="auto"/>
          <w:sz w:val="32"/>
          <w:szCs w:val="32"/>
          <w:highlight w:val="none"/>
          <w:shd w:val="clear" w:color="auto" w:fill="auto"/>
        </w:rPr>
        <w:t>政府债务率下降3</w:t>
      </w:r>
      <w:r>
        <w:rPr>
          <w:rFonts w:hint="eastAsia" w:ascii="仿宋_GB2312" w:hAnsi="仿宋_GB2312" w:eastAsia="仿宋_GB2312" w:cs="仿宋_GB2312"/>
          <w:bCs/>
          <w:color w:val="auto"/>
          <w:sz w:val="32"/>
          <w:szCs w:val="32"/>
          <w:highlight w:val="none"/>
          <w:shd w:val="clear" w:color="auto" w:fill="auto"/>
          <w:lang w:val="en-US" w:eastAsia="zh-CN"/>
        </w:rPr>
        <w:t>48</w:t>
      </w:r>
      <w:r>
        <w:rPr>
          <w:rFonts w:hint="eastAsia" w:ascii="仿宋_GB2312" w:hAnsi="仿宋_GB2312" w:eastAsia="仿宋_GB2312" w:cs="仿宋_GB2312"/>
          <w:bCs/>
          <w:color w:val="auto"/>
          <w:sz w:val="32"/>
          <w:szCs w:val="32"/>
          <w:highlight w:val="none"/>
          <w:shd w:val="clear" w:color="auto" w:fill="auto"/>
        </w:rPr>
        <w:t>个百分点，债务风险得到有效化解</w:t>
      </w:r>
      <w:r>
        <w:rPr>
          <w:rFonts w:hint="eastAsia" w:ascii="仿宋_GB2312" w:hAnsi="仿宋_GB2312" w:eastAsia="仿宋_GB2312" w:cs="仿宋_GB2312"/>
          <w:bCs/>
          <w:color w:val="auto"/>
          <w:sz w:val="32"/>
          <w:szCs w:val="32"/>
          <w:highlight w:val="none"/>
          <w:shd w:val="clear" w:color="auto" w:fill="auto"/>
          <w:lang w:eastAsia="zh-CN"/>
        </w:rPr>
        <w:t>。</w:t>
      </w:r>
      <w:r>
        <w:rPr>
          <w:rFonts w:hint="eastAsia" w:ascii="仿宋_GB2312" w:hAnsi="仿宋_GB2312" w:eastAsia="仿宋_GB2312" w:cs="仿宋_GB2312"/>
          <w:bCs/>
          <w:color w:val="auto"/>
          <w:sz w:val="32"/>
          <w:szCs w:val="32"/>
          <w:highlight w:val="none"/>
          <w:shd w:val="clear" w:color="auto" w:fill="auto"/>
        </w:rPr>
        <w:t>深化国企改革取得实效，国有</w:t>
      </w:r>
      <w:r>
        <w:rPr>
          <w:rFonts w:hint="eastAsia" w:ascii="仿宋_GB2312" w:hAnsi="仿宋_GB2312" w:eastAsia="仿宋_GB2312" w:cs="仿宋_GB2312"/>
          <w:bCs/>
          <w:color w:val="auto"/>
          <w:sz w:val="32"/>
          <w:szCs w:val="32"/>
          <w:highlight w:val="none"/>
          <w:shd w:val="clear" w:color="auto" w:fill="auto"/>
          <w:lang w:eastAsia="zh-CN"/>
        </w:rPr>
        <w:t>企业</w:t>
      </w:r>
      <w:r>
        <w:rPr>
          <w:rFonts w:hint="eastAsia" w:ascii="仿宋_GB2312" w:hAnsi="仿宋_GB2312" w:eastAsia="仿宋_GB2312" w:cs="仿宋_GB2312"/>
          <w:bCs/>
          <w:color w:val="auto"/>
          <w:sz w:val="32"/>
          <w:szCs w:val="32"/>
          <w:highlight w:val="none"/>
          <w:shd w:val="clear" w:color="auto" w:fill="auto"/>
        </w:rPr>
        <w:t>服务县域发展能力显著增强</w:t>
      </w:r>
      <w:r>
        <w:rPr>
          <w:rFonts w:hint="eastAsia" w:ascii="仿宋_GB2312" w:hAnsi="仿宋_GB2312" w:eastAsia="仿宋_GB2312" w:cs="仿宋_GB2312"/>
          <w:bCs/>
          <w:color w:val="auto"/>
          <w:sz w:val="32"/>
          <w:szCs w:val="32"/>
          <w:highlight w:val="none"/>
          <w:shd w:val="clear" w:color="auto" w:fill="auto"/>
          <w:lang w:eastAsia="zh-CN"/>
        </w:rPr>
        <w:t>。</w:t>
      </w:r>
      <w:r>
        <w:rPr>
          <w:rFonts w:hint="eastAsia" w:ascii="仿宋_GB2312" w:hAnsi="仿宋_GB2312" w:eastAsia="仿宋_GB2312" w:cs="仿宋_GB2312"/>
          <w:bCs/>
          <w:color w:val="auto"/>
          <w:sz w:val="32"/>
          <w:szCs w:val="32"/>
          <w:highlight w:val="none"/>
          <w:shd w:val="clear" w:color="auto" w:fill="auto"/>
        </w:rPr>
        <w:t>全县存贷款余额分别较</w:t>
      </w:r>
      <w:r>
        <w:rPr>
          <w:rFonts w:hint="eastAsia" w:ascii="仿宋_GB2312" w:hAnsi="仿宋_GB2312" w:eastAsia="仿宋_GB2312" w:cs="仿宋_GB2312"/>
          <w:bCs/>
          <w:color w:val="auto"/>
          <w:sz w:val="32"/>
          <w:szCs w:val="32"/>
          <w:highlight w:val="none"/>
          <w:shd w:val="clear" w:color="auto" w:fill="auto"/>
          <w:lang w:eastAsia="zh-CN"/>
        </w:rPr>
        <w:t>“</w:t>
      </w:r>
      <w:r>
        <w:rPr>
          <w:rFonts w:hint="eastAsia" w:ascii="仿宋_GB2312" w:hAnsi="仿宋_GB2312" w:eastAsia="仿宋_GB2312" w:cs="仿宋_GB2312"/>
          <w:bCs/>
          <w:color w:val="auto"/>
          <w:sz w:val="32"/>
          <w:szCs w:val="32"/>
          <w:highlight w:val="none"/>
          <w:shd w:val="clear" w:color="auto" w:fill="auto"/>
        </w:rPr>
        <w:t>十三五</w:t>
      </w:r>
      <w:r>
        <w:rPr>
          <w:rFonts w:hint="eastAsia" w:ascii="仿宋_GB2312" w:hAnsi="仿宋_GB2312" w:eastAsia="仿宋_GB2312" w:cs="仿宋_GB2312"/>
          <w:bCs/>
          <w:color w:val="auto"/>
          <w:sz w:val="32"/>
          <w:szCs w:val="32"/>
          <w:highlight w:val="none"/>
          <w:shd w:val="clear" w:color="auto" w:fill="auto"/>
          <w:lang w:eastAsia="zh-CN"/>
        </w:rPr>
        <w:t>”</w:t>
      </w:r>
      <w:r>
        <w:rPr>
          <w:rFonts w:hint="eastAsia" w:ascii="仿宋_GB2312" w:hAnsi="仿宋_GB2312" w:eastAsia="仿宋_GB2312" w:cs="仿宋_GB2312"/>
          <w:bCs/>
          <w:color w:val="auto"/>
          <w:sz w:val="32"/>
          <w:szCs w:val="32"/>
          <w:highlight w:val="none"/>
          <w:shd w:val="clear" w:color="auto" w:fill="auto"/>
        </w:rPr>
        <w:t>末增加97.</w:t>
      </w:r>
      <w:r>
        <w:rPr>
          <w:rFonts w:hint="eastAsia" w:ascii="仿宋_GB2312" w:hAnsi="仿宋_GB2312" w:eastAsia="仿宋_GB2312" w:cs="仿宋_GB2312"/>
          <w:bCs/>
          <w:color w:val="auto"/>
          <w:sz w:val="32"/>
          <w:szCs w:val="32"/>
          <w:highlight w:val="none"/>
          <w:shd w:val="clear" w:color="auto" w:fill="auto"/>
          <w:lang w:val="en-US" w:eastAsia="zh-CN"/>
        </w:rPr>
        <w:t>7</w:t>
      </w:r>
      <w:r>
        <w:rPr>
          <w:rFonts w:hint="eastAsia" w:ascii="仿宋_GB2312" w:hAnsi="仿宋_GB2312" w:eastAsia="仿宋_GB2312" w:cs="仿宋_GB2312"/>
          <w:bCs/>
          <w:color w:val="auto"/>
          <w:sz w:val="32"/>
          <w:szCs w:val="32"/>
          <w:highlight w:val="none"/>
          <w:shd w:val="clear" w:color="auto" w:fill="auto"/>
        </w:rPr>
        <w:t xml:space="preserve">亿元和36亿元，金融服务实体经济质效持续提升。 </w:t>
      </w:r>
    </w:p>
    <w:p w14:paraId="51BD6CF0">
      <w:pPr>
        <w:keepNext w:val="0"/>
        <w:keepLines w:val="0"/>
        <w:pageBreakBefore w:val="0"/>
        <w:widowControl w:val="0"/>
        <w:kinsoku/>
        <w:wordWrap/>
        <w:overflowPunct/>
        <w:topLinePunct w:val="0"/>
        <w:autoSpaceDN/>
        <w:bidi w:val="0"/>
        <w:adjustRightInd/>
        <w:snapToGrid/>
        <w:spacing w:line="540" w:lineRule="exact"/>
        <w:ind w:firstLine="640" w:firstLineChars="200"/>
        <w:jc w:val="both"/>
        <w:textAlignment w:val="auto"/>
        <w:rPr>
          <w:rFonts w:hint="eastAsia" w:ascii="仿宋_GB2312" w:hAnsi="仿宋_GB2312" w:eastAsia="仿宋_GB2312" w:cs="仿宋_GB2312"/>
          <w:bCs/>
          <w:color w:val="auto"/>
          <w:sz w:val="32"/>
          <w:szCs w:val="32"/>
          <w:highlight w:val="none"/>
          <w:shd w:val="clear" w:color="auto" w:fill="auto"/>
        </w:rPr>
      </w:pPr>
      <w:r>
        <w:rPr>
          <w:rFonts w:hint="eastAsia" w:ascii="仿宋_GB2312" w:hAnsi="仿宋_GB2312" w:eastAsia="仿宋_GB2312" w:cs="仿宋_GB2312"/>
          <w:bCs/>
          <w:color w:val="auto"/>
          <w:sz w:val="32"/>
          <w:szCs w:val="32"/>
          <w:highlight w:val="none"/>
          <w:shd w:val="clear" w:color="auto" w:fill="auto"/>
        </w:rPr>
        <w:t>五年来，财税金融各项工作实现阶段性跨越，为全县经济社会持续健康发展提供了财政保障，为</w:t>
      </w:r>
      <w:r>
        <w:rPr>
          <w:rFonts w:hint="eastAsia" w:ascii="仿宋_GB2312" w:hAnsi="仿宋_GB2312" w:eastAsia="仿宋_GB2312" w:cs="仿宋_GB2312"/>
          <w:bCs/>
          <w:color w:val="auto"/>
          <w:sz w:val="32"/>
          <w:szCs w:val="32"/>
          <w:highlight w:val="none"/>
          <w:shd w:val="clear" w:color="auto" w:fill="auto"/>
          <w:lang w:eastAsia="zh-CN"/>
        </w:rPr>
        <w:t>“</w:t>
      </w:r>
      <w:r>
        <w:rPr>
          <w:rFonts w:hint="eastAsia" w:ascii="仿宋_GB2312" w:hAnsi="仿宋_GB2312" w:eastAsia="仿宋_GB2312" w:cs="仿宋_GB2312"/>
          <w:bCs/>
          <w:color w:val="auto"/>
          <w:sz w:val="32"/>
          <w:szCs w:val="32"/>
          <w:highlight w:val="none"/>
          <w:shd w:val="clear" w:color="auto" w:fill="auto"/>
        </w:rPr>
        <w:t>十四五</w:t>
      </w:r>
      <w:r>
        <w:rPr>
          <w:rFonts w:hint="eastAsia" w:ascii="仿宋_GB2312" w:hAnsi="仿宋_GB2312" w:eastAsia="仿宋_GB2312" w:cs="仿宋_GB2312"/>
          <w:bCs/>
          <w:color w:val="auto"/>
          <w:sz w:val="32"/>
          <w:szCs w:val="32"/>
          <w:highlight w:val="none"/>
          <w:shd w:val="clear" w:color="auto" w:fill="auto"/>
          <w:lang w:eastAsia="zh-CN"/>
        </w:rPr>
        <w:t>”</w:t>
      </w:r>
      <w:r>
        <w:rPr>
          <w:rFonts w:hint="eastAsia" w:ascii="仿宋_GB2312" w:hAnsi="仿宋_GB2312" w:eastAsia="仿宋_GB2312" w:cs="仿宋_GB2312"/>
          <w:bCs/>
          <w:color w:val="auto"/>
          <w:sz w:val="32"/>
          <w:szCs w:val="32"/>
          <w:highlight w:val="none"/>
          <w:shd w:val="clear" w:color="auto" w:fill="auto"/>
        </w:rPr>
        <w:t>规划圆满收官交出了坚实的财政答卷。</w:t>
      </w:r>
    </w:p>
    <w:p w14:paraId="34A6FF5F">
      <w:pPr>
        <w:keepNext w:val="0"/>
        <w:keepLines w:val="0"/>
        <w:pageBreakBefore w:val="0"/>
        <w:widowControl w:val="0"/>
        <w:kinsoku/>
        <w:wordWrap/>
        <w:overflowPunct/>
        <w:topLinePunct w:val="0"/>
        <w:autoSpaceDN/>
        <w:bidi w:val="0"/>
        <w:adjustRightInd/>
        <w:snapToGrid/>
        <w:spacing w:line="540" w:lineRule="exact"/>
        <w:ind w:firstLine="643" w:firstLineChars="200"/>
        <w:jc w:val="both"/>
        <w:textAlignment w:val="auto"/>
        <w:rPr>
          <w:rFonts w:hint="eastAsia" w:ascii="楷体_GB2312" w:hAnsi="楷体_GB2312" w:eastAsia="楷体_GB2312" w:cs="楷体_GB2312"/>
          <w:b/>
          <w:color w:val="auto"/>
          <w:sz w:val="32"/>
          <w:szCs w:val="32"/>
          <w:highlight w:val="none"/>
          <w:shd w:val="clear" w:color="auto" w:fill="auto"/>
          <w:lang w:val="en-US" w:eastAsia="zh-CN"/>
        </w:rPr>
      </w:pPr>
      <w:r>
        <w:rPr>
          <w:rFonts w:hint="eastAsia" w:ascii="楷体_GB2312" w:hAnsi="楷体_GB2312" w:eastAsia="楷体_GB2312" w:cs="楷体_GB2312"/>
          <w:b/>
          <w:color w:val="auto"/>
          <w:sz w:val="32"/>
          <w:szCs w:val="32"/>
          <w:highlight w:val="none"/>
          <w:shd w:val="clear" w:color="auto" w:fill="auto"/>
          <w:lang w:val="en-US" w:eastAsia="zh-CN"/>
        </w:rPr>
        <w:t>（一）2025年财政预算执行情况</w:t>
      </w:r>
    </w:p>
    <w:p w14:paraId="24A68A0F">
      <w:pPr>
        <w:keepNext w:val="0"/>
        <w:keepLines w:val="0"/>
        <w:pageBreakBefore w:val="0"/>
        <w:widowControl w:val="0"/>
        <w:numPr>
          <w:ilvl w:val="0"/>
          <w:numId w:val="0"/>
        </w:numPr>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全县一般公共预算执行情况。</w:t>
      </w:r>
      <w:r>
        <w:rPr>
          <w:rFonts w:hint="eastAsia" w:ascii="仿宋_GB2312" w:hAnsi="仿宋_GB2312" w:eastAsia="仿宋_GB2312" w:cs="仿宋_GB2312"/>
          <w:color w:val="auto"/>
          <w:sz w:val="32"/>
          <w:szCs w:val="32"/>
        </w:rPr>
        <w:t>2025年完成</w:t>
      </w:r>
      <w:r>
        <w:rPr>
          <w:rFonts w:hint="eastAsia" w:ascii="仿宋_GB2312" w:hAnsi="仿宋_GB2312" w:eastAsia="仿宋_GB2312" w:cs="仿宋_GB2312"/>
          <w:color w:val="auto"/>
          <w:sz w:val="32"/>
          <w:szCs w:val="32"/>
          <w:lang w:eastAsia="zh-CN"/>
        </w:rPr>
        <w:t>一般</w:t>
      </w:r>
      <w:r>
        <w:rPr>
          <w:rFonts w:hint="eastAsia" w:ascii="仿宋_GB2312" w:hAnsi="仿宋_GB2312" w:eastAsia="仿宋_GB2312" w:cs="仿宋_GB2312"/>
          <w:color w:val="auto"/>
          <w:sz w:val="32"/>
          <w:szCs w:val="32"/>
        </w:rPr>
        <w:t>公共预算总收入</w:t>
      </w:r>
      <w:r>
        <w:rPr>
          <w:rFonts w:hint="eastAsia" w:ascii="仿宋_GB2312" w:hAnsi="仿宋_GB2312" w:eastAsia="仿宋_GB2312" w:cs="仿宋_GB2312"/>
          <w:color w:val="auto"/>
          <w:sz w:val="32"/>
          <w:szCs w:val="32"/>
          <w:lang w:val="en-US" w:eastAsia="zh-CN"/>
        </w:rPr>
        <w:t>509471</w:t>
      </w:r>
      <w:r>
        <w:rPr>
          <w:rFonts w:hint="eastAsia" w:ascii="仿宋_GB2312" w:hAnsi="仿宋_GB2312" w:eastAsia="仿宋_GB2312" w:cs="仿宋_GB2312"/>
          <w:color w:val="auto"/>
          <w:sz w:val="32"/>
          <w:szCs w:val="32"/>
        </w:rPr>
        <w:t>万元，其中：上年结转62191万元，县本级一般公共预算收入11</w:t>
      </w:r>
      <w:r>
        <w:rPr>
          <w:rFonts w:hint="eastAsia" w:ascii="仿宋_GB2312" w:hAnsi="仿宋_GB2312" w:eastAsia="仿宋_GB2312" w:cs="仿宋_GB2312"/>
          <w:color w:val="auto"/>
          <w:sz w:val="32"/>
          <w:szCs w:val="32"/>
          <w:lang w:val="en-US" w:eastAsia="zh-CN"/>
        </w:rPr>
        <w:t>1704</w:t>
      </w:r>
      <w:r>
        <w:rPr>
          <w:rFonts w:hint="eastAsia" w:ascii="仿宋_GB2312" w:hAnsi="仿宋_GB2312" w:eastAsia="仿宋_GB2312" w:cs="仿宋_GB2312"/>
          <w:color w:val="auto"/>
          <w:sz w:val="32"/>
          <w:szCs w:val="32"/>
        </w:rPr>
        <w:t>万元，同比增长5</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%，上级转移支付收入</w:t>
      </w:r>
      <w:r>
        <w:rPr>
          <w:rFonts w:hint="eastAsia" w:ascii="仿宋_GB2312" w:hAnsi="仿宋_GB2312" w:eastAsia="仿宋_GB2312" w:cs="仿宋_GB2312"/>
          <w:color w:val="auto"/>
          <w:sz w:val="32"/>
          <w:szCs w:val="32"/>
          <w:lang w:val="en-US" w:eastAsia="zh-CN"/>
        </w:rPr>
        <w:t>331776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动用预算稳定调节基金3800万元。完成</w:t>
      </w:r>
      <w:r>
        <w:rPr>
          <w:rFonts w:hint="eastAsia" w:ascii="仿宋_GB2312" w:hAnsi="仿宋_GB2312" w:eastAsia="仿宋_GB2312" w:cs="仿宋_GB2312"/>
          <w:color w:val="auto"/>
          <w:sz w:val="32"/>
          <w:szCs w:val="32"/>
          <w:lang w:eastAsia="zh-CN"/>
        </w:rPr>
        <w:t>一般</w:t>
      </w:r>
      <w:r>
        <w:rPr>
          <w:rFonts w:hint="eastAsia" w:ascii="仿宋_GB2312" w:hAnsi="仿宋_GB2312" w:eastAsia="仿宋_GB2312" w:cs="仿宋_GB2312"/>
          <w:color w:val="auto"/>
          <w:sz w:val="32"/>
          <w:szCs w:val="32"/>
        </w:rPr>
        <w:t>公共预算总支出</w:t>
      </w:r>
      <w:r>
        <w:rPr>
          <w:rFonts w:hint="eastAsia" w:ascii="仿宋_GB2312" w:hAnsi="仿宋_GB2312" w:eastAsia="仿宋_GB2312" w:cs="仿宋_GB2312"/>
          <w:color w:val="auto"/>
          <w:sz w:val="32"/>
          <w:szCs w:val="32"/>
          <w:lang w:val="en-US" w:eastAsia="zh-CN"/>
        </w:rPr>
        <w:t>466808</w:t>
      </w:r>
      <w:r>
        <w:rPr>
          <w:rFonts w:hint="eastAsia" w:ascii="仿宋_GB2312" w:hAnsi="仿宋_GB2312" w:eastAsia="仿宋_GB2312" w:cs="仿宋_GB2312"/>
          <w:color w:val="auto"/>
          <w:sz w:val="32"/>
          <w:szCs w:val="32"/>
        </w:rPr>
        <w:t>万元，其中：一般公共预算支出</w:t>
      </w:r>
      <w:r>
        <w:rPr>
          <w:rFonts w:hint="eastAsia" w:ascii="仿宋_GB2312" w:hAnsi="仿宋_GB2312" w:eastAsia="仿宋_GB2312" w:cs="仿宋_GB2312"/>
          <w:color w:val="auto"/>
          <w:sz w:val="32"/>
          <w:szCs w:val="32"/>
          <w:lang w:val="en-US" w:eastAsia="zh-CN"/>
        </w:rPr>
        <w:t>416553</w:t>
      </w:r>
      <w:r>
        <w:rPr>
          <w:rFonts w:hint="eastAsia" w:ascii="仿宋_GB2312" w:hAnsi="仿宋_GB2312" w:eastAsia="仿宋_GB2312" w:cs="仿宋_GB2312"/>
          <w:color w:val="auto"/>
          <w:sz w:val="32"/>
          <w:szCs w:val="32"/>
        </w:rPr>
        <w:t>万元，上解支出</w:t>
      </w:r>
      <w:r>
        <w:rPr>
          <w:rFonts w:hint="eastAsia" w:ascii="仿宋_GB2312" w:hAnsi="仿宋_GB2312" w:eastAsia="仿宋_GB2312" w:cs="仿宋_GB2312"/>
          <w:color w:val="auto"/>
          <w:sz w:val="32"/>
          <w:szCs w:val="32"/>
          <w:lang w:val="en-US" w:eastAsia="zh-CN"/>
        </w:rPr>
        <w:t>2794</w:t>
      </w:r>
      <w:r>
        <w:rPr>
          <w:rFonts w:hint="eastAsia" w:ascii="仿宋_GB2312" w:hAnsi="仿宋_GB2312" w:eastAsia="仿宋_GB2312" w:cs="仿宋_GB2312"/>
          <w:color w:val="auto"/>
          <w:sz w:val="32"/>
          <w:szCs w:val="32"/>
        </w:rPr>
        <w:t>万元，调出资金</w:t>
      </w:r>
      <w:r>
        <w:rPr>
          <w:rFonts w:hint="eastAsia" w:ascii="仿宋_GB2312" w:hAnsi="仿宋_GB2312" w:eastAsia="仿宋_GB2312" w:cs="仿宋_GB2312"/>
          <w:color w:val="auto"/>
          <w:sz w:val="32"/>
          <w:szCs w:val="32"/>
          <w:lang w:val="en-US" w:eastAsia="zh-CN"/>
        </w:rPr>
        <w:t>30000</w:t>
      </w:r>
      <w:r>
        <w:rPr>
          <w:rFonts w:hint="eastAsia" w:ascii="仿宋_GB2312" w:hAnsi="仿宋_GB2312" w:eastAsia="仿宋_GB2312" w:cs="仿宋_GB2312"/>
          <w:color w:val="auto"/>
          <w:sz w:val="32"/>
          <w:szCs w:val="32"/>
        </w:rPr>
        <w:t>万元，债务还本支出17461万元。</w:t>
      </w:r>
      <w:r>
        <w:rPr>
          <w:rFonts w:hint="eastAsia" w:ascii="仿宋_GB2312" w:hAnsi="仿宋_GB2312" w:eastAsia="仿宋_GB2312" w:cs="仿宋_GB2312"/>
          <w:color w:val="auto"/>
          <w:sz w:val="32"/>
          <w:szCs w:val="32"/>
          <w:lang w:eastAsia="zh-CN"/>
        </w:rPr>
        <w:t>安排预算稳定调节基金</w:t>
      </w:r>
      <w:r>
        <w:rPr>
          <w:rFonts w:hint="eastAsia" w:ascii="仿宋_GB2312" w:hAnsi="仿宋_GB2312" w:eastAsia="仿宋_GB2312" w:cs="仿宋_GB2312"/>
          <w:color w:val="auto"/>
          <w:sz w:val="32"/>
          <w:szCs w:val="32"/>
          <w:lang w:val="en-US" w:eastAsia="zh-CN"/>
        </w:rPr>
        <w:t>504万元，</w:t>
      </w:r>
      <w:r>
        <w:rPr>
          <w:rFonts w:hint="eastAsia" w:ascii="仿宋_GB2312" w:hAnsi="仿宋_GB2312" w:eastAsia="仿宋_GB2312" w:cs="仿宋_GB2312"/>
          <w:color w:val="auto"/>
          <w:sz w:val="32"/>
          <w:szCs w:val="32"/>
        </w:rPr>
        <w:t>结转下年</w:t>
      </w:r>
      <w:r>
        <w:rPr>
          <w:rFonts w:hint="eastAsia" w:ascii="仿宋_GB2312" w:hAnsi="仿宋_GB2312" w:eastAsia="仿宋_GB2312" w:cs="仿宋_GB2312"/>
          <w:color w:val="auto"/>
          <w:sz w:val="32"/>
          <w:szCs w:val="32"/>
          <w:lang w:val="en-US" w:eastAsia="zh-CN"/>
        </w:rPr>
        <w:t>42159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w:t>
      </w:r>
    </w:p>
    <w:p w14:paraId="71AF337A">
      <w:pPr>
        <w:keepNext w:val="0"/>
        <w:keepLines w:val="0"/>
        <w:pageBreakBefore w:val="0"/>
        <w:widowControl w:val="0"/>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color w:val="auto"/>
          <w:sz w:val="32"/>
          <w:szCs w:val="32"/>
        </w:rPr>
        <w:t>2.全县政府性基金预算执行情况。</w:t>
      </w:r>
      <w:r>
        <w:rPr>
          <w:rFonts w:hint="eastAsia" w:ascii="仿宋_GB2312" w:hAnsi="仿宋_GB2312" w:eastAsia="仿宋_GB2312" w:cs="仿宋_GB2312"/>
          <w:color w:val="auto"/>
          <w:sz w:val="32"/>
          <w:szCs w:val="32"/>
        </w:rPr>
        <w:t>2025年完成地方政府性基金预算总收入</w:t>
      </w:r>
      <w:r>
        <w:rPr>
          <w:rFonts w:hint="eastAsia" w:ascii="仿宋_GB2312" w:hAnsi="仿宋_GB2312" w:eastAsia="仿宋_GB2312" w:cs="仿宋_GB2312"/>
          <w:color w:val="auto"/>
          <w:sz w:val="32"/>
          <w:szCs w:val="32"/>
          <w:lang w:val="en-US" w:eastAsia="zh-CN"/>
        </w:rPr>
        <w:t>135626万</w:t>
      </w:r>
      <w:r>
        <w:rPr>
          <w:rFonts w:hint="eastAsia" w:ascii="仿宋_GB2312" w:hAnsi="仿宋_GB2312" w:eastAsia="仿宋_GB2312" w:cs="仿宋_GB2312"/>
          <w:color w:val="auto"/>
          <w:sz w:val="32"/>
          <w:szCs w:val="32"/>
        </w:rPr>
        <w:t>元，其中：上年结转23072万元，县本级政府性基金收入</w:t>
      </w:r>
      <w:r>
        <w:rPr>
          <w:rFonts w:hint="eastAsia" w:ascii="仿宋_GB2312" w:hAnsi="仿宋_GB2312" w:eastAsia="仿宋_GB2312" w:cs="仿宋_GB2312"/>
          <w:color w:val="auto"/>
          <w:sz w:val="32"/>
          <w:szCs w:val="32"/>
          <w:lang w:val="en-US" w:eastAsia="zh-CN"/>
        </w:rPr>
        <w:t>13956</w:t>
      </w:r>
      <w:r>
        <w:rPr>
          <w:rFonts w:hint="eastAsia" w:ascii="仿宋_GB2312" w:hAnsi="仿宋_GB2312" w:eastAsia="仿宋_GB2312" w:cs="仿宋_GB2312"/>
          <w:color w:val="auto"/>
          <w:sz w:val="32"/>
          <w:szCs w:val="32"/>
        </w:rPr>
        <w:t>万元，上级转移支付收入</w:t>
      </w:r>
      <w:r>
        <w:rPr>
          <w:rFonts w:hint="eastAsia" w:ascii="仿宋_GB2312" w:hAnsi="仿宋_GB2312" w:eastAsia="仿宋_GB2312" w:cs="仿宋_GB2312"/>
          <w:color w:val="auto"/>
          <w:sz w:val="32"/>
          <w:szCs w:val="32"/>
          <w:lang w:val="en-US" w:eastAsia="zh-CN"/>
        </w:rPr>
        <w:t>25416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，地方政府专项债务转贷收入</w:t>
      </w:r>
      <w:r>
        <w:rPr>
          <w:rFonts w:hint="eastAsia" w:ascii="仿宋_GB2312" w:hAnsi="仿宋_GB2312" w:eastAsia="仿宋_GB2312" w:cs="仿宋_GB2312"/>
          <w:color w:val="auto"/>
          <w:sz w:val="32"/>
          <w:szCs w:val="32"/>
          <w:lang w:val="en-US" w:eastAsia="zh-CN"/>
        </w:rPr>
        <w:t>43182万元，</w:t>
      </w:r>
      <w:r>
        <w:rPr>
          <w:rFonts w:hint="eastAsia" w:ascii="仿宋_GB2312" w:hAnsi="仿宋_GB2312" w:eastAsia="仿宋_GB2312" w:cs="仿宋_GB2312"/>
          <w:color w:val="auto"/>
          <w:sz w:val="32"/>
          <w:szCs w:val="32"/>
        </w:rPr>
        <w:t>从一般公共预算调入3</w:t>
      </w:r>
      <w:r>
        <w:rPr>
          <w:rFonts w:hint="eastAsia" w:ascii="仿宋_GB2312" w:hAnsi="仿宋_GB2312" w:eastAsia="仿宋_GB2312" w:cs="仿宋_GB2312"/>
          <w:color w:val="auto"/>
          <w:sz w:val="32"/>
          <w:szCs w:val="32"/>
          <w:lang w:val="en-US" w:eastAsia="zh-CN"/>
        </w:rPr>
        <w:t>0000</w:t>
      </w:r>
      <w:r>
        <w:rPr>
          <w:rFonts w:hint="eastAsia" w:ascii="仿宋_GB2312" w:hAnsi="仿宋_GB2312" w:eastAsia="仿宋_GB2312" w:cs="仿宋_GB2312"/>
          <w:color w:val="auto"/>
          <w:sz w:val="32"/>
          <w:szCs w:val="32"/>
        </w:rPr>
        <w:t>万元。完成地方政府性基金总支出</w:t>
      </w:r>
      <w:r>
        <w:rPr>
          <w:rFonts w:hint="eastAsia" w:ascii="仿宋_GB2312" w:hAnsi="仿宋_GB2312" w:eastAsia="仿宋_GB2312" w:cs="仿宋_GB2312"/>
          <w:color w:val="auto"/>
          <w:sz w:val="32"/>
          <w:szCs w:val="32"/>
          <w:lang w:val="en-US" w:eastAsia="zh-CN"/>
        </w:rPr>
        <w:t>119210</w:t>
      </w:r>
      <w:r>
        <w:rPr>
          <w:rFonts w:hint="eastAsia" w:ascii="仿宋_GB2312" w:hAnsi="仿宋_GB2312" w:eastAsia="仿宋_GB2312" w:cs="仿宋_GB2312"/>
          <w:color w:val="auto"/>
          <w:sz w:val="32"/>
          <w:szCs w:val="32"/>
        </w:rPr>
        <w:t>万元，其中：政府性基金预算支出</w:t>
      </w:r>
      <w:r>
        <w:rPr>
          <w:rFonts w:hint="eastAsia" w:ascii="仿宋_GB2312" w:hAnsi="仿宋_GB2312" w:eastAsia="仿宋_GB2312" w:cs="仿宋_GB2312"/>
          <w:color w:val="auto"/>
          <w:sz w:val="32"/>
          <w:szCs w:val="32"/>
          <w:lang w:val="en-US" w:eastAsia="zh-CN"/>
        </w:rPr>
        <w:t>112066</w:t>
      </w:r>
      <w:r>
        <w:rPr>
          <w:rFonts w:hint="eastAsia" w:ascii="仿宋_GB2312" w:hAnsi="仿宋_GB2312" w:eastAsia="仿宋_GB2312" w:cs="仿宋_GB2312"/>
          <w:color w:val="auto"/>
          <w:sz w:val="32"/>
          <w:szCs w:val="32"/>
        </w:rPr>
        <w:t>万元，债务还本支出7144万元。结转下年</w:t>
      </w:r>
      <w:r>
        <w:rPr>
          <w:rFonts w:hint="eastAsia" w:ascii="仿宋_GB2312" w:hAnsi="仿宋_GB2312" w:eastAsia="仿宋_GB2312" w:cs="仿宋_GB2312"/>
          <w:color w:val="auto"/>
          <w:sz w:val="32"/>
          <w:szCs w:val="32"/>
          <w:lang w:val="en-US" w:eastAsia="zh-CN"/>
        </w:rPr>
        <w:t>16416</w:t>
      </w:r>
      <w:r>
        <w:rPr>
          <w:rFonts w:hint="eastAsia" w:ascii="仿宋_GB2312" w:hAnsi="仿宋_GB2312" w:eastAsia="仿宋_GB2312" w:cs="仿宋_GB2312"/>
          <w:color w:val="auto"/>
          <w:sz w:val="32"/>
          <w:szCs w:val="32"/>
        </w:rPr>
        <w:t>万元。</w:t>
      </w:r>
    </w:p>
    <w:p w14:paraId="2105B77B">
      <w:pPr>
        <w:keepNext w:val="0"/>
        <w:keepLines w:val="0"/>
        <w:pageBreakBefore w:val="0"/>
        <w:widowControl w:val="0"/>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3.国有资本经营预算执行情况。</w:t>
      </w:r>
      <w:r>
        <w:rPr>
          <w:rFonts w:hint="eastAsia" w:ascii="仿宋_GB2312" w:hAnsi="仿宋_GB2312" w:eastAsia="仿宋_GB2312" w:cs="仿宋_GB2312"/>
          <w:color w:val="auto"/>
          <w:sz w:val="32"/>
          <w:szCs w:val="32"/>
        </w:rPr>
        <w:t>2025年国有资本经营预算收入完成3</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万元，其中：上年结转1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万元，上级补助收入23万元。完成支出</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万元，结转下年</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万元。</w:t>
      </w:r>
    </w:p>
    <w:p w14:paraId="7312C376">
      <w:pPr>
        <w:keepNext w:val="0"/>
        <w:keepLines w:val="0"/>
        <w:pageBreakBefore w:val="0"/>
        <w:widowControl w:val="0"/>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4.社会保险基金预算执行情况。</w:t>
      </w:r>
      <w:r>
        <w:rPr>
          <w:rFonts w:hint="eastAsia" w:ascii="仿宋_GB2312" w:hAnsi="仿宋_GB2312" w:eastAsia="仿宋_GB2312" w:cs="仿宋_GB2312"/>
          <w:color w:val="auto"/>
          <w:sz w:val="32"/>
          <w:szCs w:val="32"/>
        </w:rPr>
        <w:t>2025年社会保险基金总收入</w:t>
      </w:r>
      <w:r>
        <w:rPr>
          <w:rFonts w:hint="eastAsia" w:ascii="仿宋_GB2312" w:hAnsi="仿宋_GB2312" w:eastAsia="仿宋_GB2312" w:cs="仿宋_GB2312"/>
          <w:color w:val="auto"/>
          <w:sz w:val="32"/>
          <w:szCs w:val="32"/>
          <w:lang w:val="en-US" w:eastAsia="zh-CN"/>
        </w:rPr>
        <w:t>158635</w:t>
      </w:r>
      <w:r>
        <w:rPr>
          <w:rFonts w:hint="eastAsia" w:ascii="仿宋_GB2312" w:hAnsi="仿宋_GB2312" w:eastAsia="仿宋_GB2312" w:cs="仿宋_GB2312"/>
          <w:color w:val="auto"/>
          <w:sz w:val="32"/>
          <w:szCs w:val="32"/>
        </w:rPr>
        <w:t>万元，社会保险基金总支出</w:t>
      </w:r>
      <w:r>
        <w:rPr>
          <w:rFonts w:hint="eastAsia" w:ascii="仿宋_GB2312" w:hAnsi="仿宋_GB2312" w:eastAsia="仿宋_GB2312" w:cs="仿宋_GB2312"/>
          <w:color w:val="auto"/>
          <w:sz w:val="32"/>
          <w:szCs w:val="32"/>
          <w:lang w:val="en-US" w:eastAsia="zh-CN"/>
        </w:rPr>
        <w:t>155543</w:t>
      </w:r>
      <w:r>
        <w:rPr>
          <w:rFonts w:hint="eastAsia" w:ascii="仿宋_GB2312" w:hAnsi="仿宋_GB2312" w:eastAsia="仿宋_GB2312" w:cs="仿宋_GB2312"/>
          <w:color w:val="auto"/>
          <w:sz w:val="32"/>
          <w:szCs w:val="32"/>
        </w:rPr>
        <w:t>万元，本年结余</w:t>
      </w:r>
      <w:r>
        <w:rPr>
          <w:rFonts w:hint="eastAsia" w:ascii="仿宋_GB2312" w:hAnsi="仿宋_GB2312" w:eastAsia="仿宋_GB2312" w:cs="仿宋_GB2312"/>
          <w:color w:val="auto"/>
          <w:sz w:val="32"/>
          <w:szCs w:val="32"/>
          <w:lang w:val="en-US" w:eastAsia="zh-CN"/>
        </w:rPr>
        <w:t>3092</w:t>
      </w:r>
      <w:r>
        <w:rPr>
          <w:rFonts w:hint="eastAsia" w:ascii="仿宋_GB2312" w:hAnsi="仿宋_GB2312" w:eastAsia="仿宋_GB2312" w:cs="仿宋_GB2312"/>
          <w:color w:val="auto"/>
          <w:sz w:val="32"/>
          <w:szCs w:val="32"/>
        </w:rPr>
        <w:t>万元，年末滚存结余</w:t>
      </w:r>
      <w:r>
        <w:rPr>
          <w:rFonts w:hint="eastAsia" w:ascii="仿宋_GB2312" w:hAnsi="仿宋_GB2312" w:eastAsia="仿宋_GB2312" w:cs="仿宋_GB2312"/>
          <w:color w:val="auto"/>
          <w:sz w:val="32"/>
          <w:szCs w:val="32"/>
          <w:lang w:val="en-US" w:eastAsia="zh-CN"/>
        </w:rPr>
        <w:t>44453</w:t>
      </w:r>
      <w:r>
        <w:rPr>
          <w:rFonts w:hint="eastAsia" w:ascii="仿宋_GB2312" w:hAnsi="仿宋_GB2312" w:eastAsia="仿宋_GB2312" w:cs="仿宋_GB2312"/>
          <w:color w:val="auto"/>
          <w:sz w:val="32"/>
          <w:szCs w:val="32"/>
        </w:rPr>
        <w:t>万元。</w:t>
      </w:r>
    </w:p>
    <w:p w14:paraId="421C23DE">
      <w:pPr>
        <w:keepNext w:val="0"/>
        <w:keepLines w:val="0"/>
        <w:pageBreakBefore w:val="0"/>
        <w:widowControl w:val="0"/>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需要说明的情况：</w:t>
      </w:r>
    </w:p>
    <w:p w14:paraId="5F5D27A9">
      <w:pPr>
        <w:keepNext w:val="0"/>
        <w:keepLines w:val="0"/>
        <w:pageBreakBefore w:val="0"/>
        <w:widowControl w:val="0"/>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1.政府</w:t>
      </w:r>
      <w:r>
        <w:rPr>
          <w:rFonts w:hint="eastAsia" w:ascii="仿宋_GB2312" w:hAnsi="仿宋_GB2312" w:eastAsia="仿宋_GB2312" w:cs="仿宋_GB2312"/>
          <w:b/>
          <w:color w:val="auto"/>
          <w:sz w:val="32"/>
          <w:szCs w:val="32"/>
          <w:lang w:eastAsia="zh-CN"/>
        </w:rPr>
        <w:t>法定债务管理</w:t>
      </w:r>
      <w:r>
        <w:rPr>
          <w:rFonts w:hint="eastAsia" w:ascii="仿宋_GB2312" w:hAnsi="仿宋_GB2312" w:eastAsia="仿宋_GB2312" w:cs="仿宋_GB2312"/>
          <w:b/>
          <w:color w:val="auto"/>
          <w:sz w:val="32"/>
          <w:szCs w:val="32"/>
        </w:rPr>
        <w:t>情况。</w:t>
      </w:r>
      <w:r>
        <w:rPr>
          <w:rFonts w:hint="eastAsia" w:ascii="仿宋_GB2312" w:hAnsi="仿宋_GB2312" w:eastAsia="仿宋_GB2312" w:cs="仿宋_GB2312"/>
          <w:color w:val="auto"/>
          <w:sz w:val="32"/>
          <w:szCs w:val="32"/>
        </w:rPr>
        <w:t>2025年到期地方政府</w:t>
      </w:r>
      <w:r>
        <w:rPr>
          <w:rFonts w:hint="eastAsia" w:ascii="仿宋_GB2312" w:hAnsi="仿宋_GB2312" w:eastAsia="仿宋_GB2312" w:cs="仿宋_GB2312"/>
          <w:color w:val="auto"/>
          <w:sz w:val="32"/>
          <w:szCs w:val="32"/>
          <w:lang w:eastAsia="zh-CN"/>
        </w:rPr>
        <w:t>法定债务本金</w:t>
      </w:r>
      <w:r>
        <w:rPr>
          <w:rFonts w:hint="eastAsia" w:ascii="仿宋_GB2312" w:hAnsi="仿宋_GB2312" w:eastAsia="仿宋_GB2312" w:cs="仿宋_GB2312"/>
          <w:color w:val="auto"/>
          <w:sz w:val="32"/>
          <w:szCs w:val="32"/>
        </w:rPr>
        <w:t>235465万元</w:t>
      </w: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color w:val="auto"/>
          <w:sz w:val="32"/>
          <w:szCs w:val="32"/>
        </w:rPr>
        <w:t>申请再融资债券</w:t>
      </w:r>
      <w:r>
        <w:rPr>
          <w:rFonts w:hint="eastAsia" w:ascii="仿宋_GB2312" w:hAnsi="仿宋_GB2312" w:eastAsia="仿宋_GB2312" w:cs="仿宋_GB2312"/>
          <w:color w:val="auto"/>
          <w:sz w:val="32"/>
          <w:szCs w:val="32"/>
          <w:lang w:eastAsia="zh-CN"/>
        </w:rPr>
        <w:t>资金偿还</w:t>
      </w:r>
      <w:r>
        <w:rPr>
          <w:rFonts w:hint="eastAsia" w:ascii="仿宋_GB2312" w:hAnsi="仿宋_GB2312" w:eastAsia="仿宋_GB2312" w:cs="仿宋_GB2312"/>
          <w:color w:val="auto"/>
          <w:sz w:val="32"/>
          <w:szCs w:val="32"/>
        </w:rPr>
        <w:t>211000万元，自有资金偿还24465万元。</w:t>
      </w:r>
      <w:r>
        <w:rPr>
          <w:rFonts w:hint="eastAsia" w:ascii="仿宋_GB2312" w:hAnsi="仿宋_GB2312" w:eastAsia="仿宋_GB2312" w:cs="仿宋_GB2312"/>
          <w:color w:val="auto"/>
          <w:sz w:val="32"/>
          <w:szCs w:val="32"/>
          <w:lang w:eastAsia="zh-CN"/>
        </w:rPr>
        <w:t>偿还法定债务利息</w:t>
      </w:r>
      <w:r>
        <w:rPr>
          <w:rFonts w:hint="eastAsia" w:ascii="仿宋_GB2312" w:hAnsi="仿宋_GB2312" w:eastAsia="仿宋_GB2312" w:cs="仿宋_GB2312"/>
          <w:color w:val="auto"/>
          <w:sz w:val="32"/>
          <w:szCs w:val="32"/>
          <w:lang w:val="en-US" w:eastAsia="zh-CN"/>
        </w:rPr>
        <w:t>69366万元。</w:t>
      </w:r>
      <w:r>
        <w:rPr>
          <w:rFonts w:hint="eastAsia" w:ascii="仿宋_GB2312" w:hAnsi="仿宋_GB2312" w:eastAsia="仿宋_GB2312" w:cs="仿宋_GB2312"/>
          <w:color w:val="auto"/>
          <w:sz w:val="32"/>
          <w:szCs w:val="32"/>
          <w:lang w:eastAsia="zh-CN"/>
        </w:rPr>
        <w:t>争取</w:t>
      </w:r>
      <w:r>
        <w:rPr>
          <w:rFonts w:hint="eastAsia" w:ascii="仿宋_GB2312" w:hAnsi="仿宋_GB2312" w:eastAsia="仿宋_GB2312" w:cs="仿宋_GB2312"/>
          <w:color w:val="auto"/>
          <w:sz w:val="32"/>
          <w:szCs w:val="32"/>
        </w:rPr>
        <w:t>债券资金</w:t>
      </w:r>
      <w:r>
        <w:rPr>
          <w:rFonts w:hint="eastAsia" w:ascii="仿宋_GB2312" w:hAnsi="仿宋_GB2312" w:eastAsia="仿宋_GB2312" w:cs="仿宋_GB2312"/>
          <w:color w:val="auto"/>
          <w:sz w:val="32"/>
          <w:szCs w:val="32"/>
          <w:lang w:val="en-US" w:eastAsia="zh-CN"/>
        </w:rPr>
        <w:t>94828</w:t>
      </w:r>
      <w:r>
        <w:rPr>
          <w:rFonts w:hint="eastAsia" w:ascii="仿宋_GB2312" w:hAnsi="仿宋_GB2312" w:eastAsia="仿宋_GB2312" w:cs="仿宋_GB2312"/>
          <w:color w:val="auto"/>
          <w:sz w:val="32"/>
          <w:szCs w:val="32"/>
        </w:rPr>
        <w:t>万元，用于</w:t>
      </w:r>
      <w:r>
        <w:rPr>
          <w:rFonts w:hint="eastAsia" w:ascii="仿宋_GB2312" w:hAnsi="仿宋_GB2312" w:eastAsia="仿宋_GB2312" w:cs="仿宋_GB2312"/>
          <w:color w:val="auto"/>
          <w:sz w:val="32"/>
          <w:szCs w:val="32"/>
          <w:lang w:eastAsia="zh-CN"/>
        </w:rPr>
        <w:t>化解</w:t>
      </w:r>
      <w:r>
        <w:rPr>
          <w:rFonts w:hint="eastAsia" w:ascii="仿宋_GB2312" w:hAnsi="仿宋_GB2312" w:eastAsia="仿宋_GB2312" w:cs="仿宋_GB2312"/>
          <w:color w:val="auto"/>
          <w:sz w:val="32"/>
          <w:szCs w:val="32"/>
        </w:rPr>
        <w:t>隐性债务</w:t>
      </w:r>
      <w:r>
        <w:rPr>
          <w:rFonts w:hint="eastAsia" w:ascii="仿宋_GB2312" w:hAnsi="仿宋_GB2312" w:eastAsia="仿宋_GB2312" w:cs="仿宋_GB2312"/>
          <w:color w:val="auto"/>
          <w:sz w:val="32"/>
          <w:szCs w:val="32"/>
          <w:lang w:eastAsia="zh-CN"/>
        </w:rPr>
        <w:t>、支持项目建设</w:t>
      </w:r>
      <w:r>
        <w:rPr>
          <w:rFonts w:hint="eastAsia" w:ascii="仿宋_GB2312" w:hAnsi="仿宋_GB2312" w:eastAsia="仿宋_GB2312" w:cs="仿宋_GB2312"/>
          <w:color w:val="auto"/>
          <w:sz w:val="32"/>
          <w:szCs w:val="32"/>
        </w:rPr>
        <w:t>及清欠企业账款。</w:t>
      </w:r>
    </w:p>
    <w:p w14:paraId="6125E588">
      <w:pPr>
        <w:keepNext w:val="0"/>
        <w:keepLines w:val="0"/>
        <w:pageBreakBefore w:val="0"/>
        <w:widowControl w:val="0"/>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w:t>
      </w:r>
      <w:r>
        <w:rPr>
          <w:rFonts w:hint="eastAsia" w:ascii="仿宋_GB2312" w:hAnsi="仿宋_GB2312" w:eastAsia="仿宋_GB2312" w:cs="仿宋_GB2312"/>
          <w:b/>
          <w:color w:val="auto"/>
          <w:sz w:val="32"/>
          <w:szCs w:val="32"/>
          <w:lang w:eastAsia="zh-CN"/>
        </w:rPr>
        <w:t>预算</w:t>
      </w:r>
      <w:r>
        <w:rPr>
          <w:rFonts w:hint="eastAsia" w:ascii="仿宋_GB2312" w:hAnsi="仿宋_GB2312" w:eastAsia="仿宋_GB2312" w:cs="仿宋_GB2312"/>
          <w:b/>
          <w:color w:val="auto"/>
          <w:sz w:val="32"/>
          <w:szCs w:val="32"/>
        </w:rPr>
        <w:t>调整情况。</w:t>
      </w:r>
      <w:r>
        <w:rPr>
          <w:rFonts w:hint="eastAsia" w:ascii="仿宋_GB2312" w:hAnsi="仿宋_GB2312" w:eastAsia="仿宋_GB2312" w:cs="仿宋_GB2312"/>
          <w:color w:val="auto"/>
          <w:sz w:val="32"/>
          <w:szCs w:val="32"/>
        </w:rPr>
        <w:t>2025年预算执行中，因政府性基金收入</w:t>
      </w:r>
      <w:r>
        <w:rPr>
          <w:rFonts w:hint="eastAsia" w:ascii="仿宋_GB2312" w:hAnsi="仿宋_GB2312" w:eastAsia="仿宋_GB2312" w:cs="仿宋_GB2312"/>
          <w:color w:val="auto"/>
          <w:sz w:val="32"/>
          <w:szCs w:val="32"/>
          <w:lang w:eastAsia="zh-CN"/>
        </w:rPr>
        <w:t>短收</w:t>
      </w:r>
      <w:r>
        <w:rPr>
          <w:rFonts w:hint="eastAsia" w:ascii="仿宋_GB2312" w:hAnsi="仿宋_GB2312" w:eastAsia="仿宋_GB2312" w:cs="仿宋_GB2312"/>
          <w:color w:val="auto"/>
          <w:sz w:val="32"/>
          <w:szCs w:val="32"/>
        </w:rPr>
        <w:t>，收支</w:t>
      </w:r>
      <w:r>
        <w:rPr>
          <w:rFonts w:hint="eastAsia" w:ascii="仿宋_GB2312" w:hAnsi="仿宋_GB2312" w:eastAsia="仿宋_GB2312" w:cs="仿宋_GB2312"/>
          <w:color w:val="auto"/>
          <w:sz w:val="32"/>
          <w:szCs w:val="32"/>
          <w:lang w:eastAsia="zh-CN"/>
        </w:rPr>
        <w:t>不平衡</w:t>
      </w:r>
      <w:r>
        <w:rPr>
          <w:rFonts w:hint="eastAsia" w:ascii="仿宋_GB2312" w:hAnsi="仿宋_GB2312" w:eastAsia="仿宋_GB2312" w:cs="仿宋_GB2312"/>
          <w:color w:val="auto"/>
          <w:sz w:val="32"/>
          <w:szCs w:val="32"/>
        </w:rPr>
        <w:t>，经县人大常委会批准，将县本级政府性基金收入预算调整为</w:t>
      </w:r>
      <w:r>
        <w:rPr>
          <w:rFonts w:hint="eastAsia" w:ascii="仿宋_GB2312" w:hAnsi="仿宋_GB2312" w:eastAsia="仿宋_GB2312" w:cs="仿宋_GB2312"/>
          <w:color w:val="auto"/>
          <w:sz w:val="32"/>
          <w:szCs w:val="32"/>
          <w:lang w:val="en-US" w:eastAsia="zh-CN"/>
        </w:rPr>
        <w:t>13800</w:t>
      </w:r>
      <w:r>
        <w:rPr>
          <w:rFonts w:hint="eastAsia" w:ascii="仿宋_GB2312" w:hAnsi="仿宋_GB2312" w:eastAsia="仿宋_GB2312" w:cs="仿宋_GB2312"/>
          <w:color w:val="auto"/>
          <w:sz w:val="32"/>
          <w:szCs w:val="32"/>
        </w:rPr>
        <w:t>万元，从一般公共预算调入</w:t>
      </w:r>
      <w:r>
        <w:rPr>
          <w:rFonts w:hint="eastAsia" w:ascii="仿宋_GB2312" w:hAnsi="仿宋_GB2312" w:eastAsia="仿宋_GB2312" w:cs="仿宋_GB2312"/>
          <w:color w:val="auto"/>
          <w:sz w:val="32"/>
          <w:szCs w:val="32"/>
          <w:lang w:val="en-US" w:eastAsia="zh-CN"/>
        </w:rPr>
        <w:t>30000</w:t>
      </w:r>
      <w:r>
        <w:rPr>
          <w:rFonts w:hint="eastAsia" w:ascii="仿宋_GB2312" w:hAnsi="仿宋_GB2312" w:eastAsia="仿宋_GB2312" w:cs="仿宋_GB2312"/>
          <w:color w:val="auto"/>
          <w:sz w:val="32"/>
          <w:szCs w:val="32"/>
        </w:rPr>
        <w:t>万元，用于</w:t>
      </w:r>
      <w:r>
        <w:rPr>
          <w:rFonts w:hint="eastAsia" w:ascii="仿宋_GB2312" w:hAnsi="仿宋_GB2312" w:eastAsia="仿宋_GB2312" w:cs="仿宋_GB2312"/>
          <w:color w:val="auto"/>
          <w:sz w:val="32"/>
          <w:szCs w:val="32"/>
          <w:lang w:eastAsia="zh-CN"/>
        </w:rPr>
        <w:t>补充</w:t>
      </w:r>
      <w:r>
        <w:rPr>
          <w:rFonts w:hint="eastAsia" w:ascii="仿宋_GB2312" w:hAnsi="仿宋_GB2312" w:eastAsia="仿宋_GB2312" w:cs="仿宋_GB2312"/>
          <w:color w:val="auto"/>
          <w:sz w:val="32"/>
          <w:szCs w:val="32"/>
        </w:rPr>
        <w:t>债券还本付息支出。</w:t>
      </w:r>
    </w:p>
    <w:p w14:paraId="093B99AB">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以上预</w:t>
      </w:r>
      <w:r>
        <w:rPr>
          <w:rFonts w:hint="eastAsia" w:ascii="仿宋_GB2312" w:hAnsi="仿宋_GB2312" w:eastAsia="仿宋_GB2312" w:cs="仿宋_GB2312"/>
          <w:color w:val="auto"/>
          <w:sz w:val="32"/>
          <w:szCs w:val="32"/>
          <w:lang w:eastAsia="zh-CN"/>
        </w:rPr>
        <w:t>算</w:t>
      </w:r>
      <w:r>
        <w:rPr>
          <w:rFonts w:hint="eastAsia" w:ascii="仿宋_GB2312" w:hAnsi="仿宋_GB2312" w:eastAsia="仿宋_GB2312" w:cs="仿宋_GB2312"/>
          <w:color w:val="auto"/>
          <w:sz w:val="32"/>
          <w:szCs w:val="32"/>
        </w:rPr>
        <w:t>执行</w:t>
      </w:r>
      <w:r>
        <w:rPr>
          <w:rFonts w:hint="eastAsia" w:ascii="仿宋_GB2312" w:hAnsi="仿宋_GB2312" w:eastAsia="仿宋_GB2312" w:cs="仿宋_GB2312"/>
          <w:color w:val="auto"/>
          <w:sz w:val="32"/>
          <w:szCs w:val="32"/>
          <w:lang w:eastAsia="zh-CN"/>
        </w:rPr>
        <w:t>情况</w:t>
      </w:r>
      <w:r>
        <w:rPr>
          <w:rFonts w:hint="eastAsia" w:ascii="仿宋_GB2312" w:hAnsi="仿宋_GB2312" w:eastAsia="仿宋_GB2312" w:cs="仿宋_GB2312"/>
          <w:color w:val="auto"/>
          <w:sz w:val="32"/>
          <w:szCs w:val="32"/>
        </w:rPr>
        <w:t>以</w:t>
      </w:r>
      <w:r>
        <w:rPr>
          <w:rFonts w:hint="eastAsia" w:ascii="仿宋_GB2312" w:hAnsi="仿宋_GB2312" w:eastAsia="仿宋_GB2312" w:cs="仿宋_GB2312"/>
          <w:color w:val="auto"/>
          <w:sz w:val="32"/>
          <w:szCs w:val="32"/>
          <w:lang w:val="en-US" w:eastAsia="zh-CN"/>
        </w:rPr>
        <w:t>2025年</w:t>
      </w:r>
      <w:r>
        <w:rPr>
          <w:rFonts w:hint="eastAsia" w:ascii="仿宋_GB2312" w:hAnsi="仿宋_GB2312" w:eastAsia="仿宋_GB2312" w:cs="仿宋_GB2312"/>
          <w:color w:val="auto"/>
          <w:sz w:val="32"/>
          <w:szCs w:val="32"/>
        </w:rPr>
        <w:t>12月月报为基数，最终执行结果以决算为准，届时再向县人大常委会报告。</w:t>
      </w:r>
    </w:p>
    <w:p w14:paraId="29707807">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left="0" w:leftChars="0" w:firstLine="643" w:firstLineChars="200"/>
        <w:jc w:val="both"/>
        <w:textAlignment w:val="auto"/>
        <w:rPr>
          <w:rFonts w:hint="eastAsia" w:ascii="楷体_GB2312" w:hAnsi="楷体_GB2312" w:eastAsia="楷体_GB2312" w:cs="楷体_GB2312"/>
          <w:b/>
          <w:bCs/>
          <w:color w:val="auto"/>
          <w:kern w:val="2"/>
          <w:sz w:val="32"/>
          <w:szCs w:val="32"/>
          <w:highlight w:val="none"/>
          <w:shd w:val="clear" w:color="auto" w:fill="auto"/>
          <w:lang w:val="en-US" w:eastAsia="zh-CN" w:bidi="ar-SA"/>
        </w:rPr>
      </w:pPr>
      <w:r>
        <w:rPr>
          <w:rFonts w:hint="eastAsia" w:ascii="楷体_GB2312" w:hAnsi="楷体_GB2312" w:eastAsia="楷体_GB2312" w:cs="楷体_GB2312"/>
          <w:b/>
          <w:bCs/>
          <w:color w:val="auto"/>
          <w:kern w:val="2"/>
          <w:sz w:val="32"/>
          <w:szCs w:val="32"/>
          <w:highlight w:val="none"/>
          <w:shd w:val="clear" w:color="auto" w:fill="auto"/>
          <w:lang w:val="en-US" w:eastAsia="zh-CN" w:bidi="ar-SA"/>
        </w:rPr>
        <w:t>（二）2025年财政工作情况</w:t>
      </w:r>
    </w:p>
    <w:p w14:paraId="017AF8D1">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一年来，财政部门始终围绕中心服务大局</w:t>
      </w:r>
      <w:r>
        <w:rPr>
          <w:rFonts w:hint="eastAsia" w:ascii="仿宋_GB2312" w:hAnsi="仿宋_GB2312" w:eastAsia="仿宋_GB2312" w:cs="仿宋_GB2312"/>
          <w:color w:val="auto"/>
          <w:sz w:val="32"/>
          <w:szCs w:val="32"/>
          <w:highlight w:val="none"/>
          <w:lang w:val="en-US" w:eastAsia="zh-CN"/>
        </w:rPr>
        <w:t>，忠诚担当、苦干实干、竭力奋斗，凝心聚力推动财政政策提质增效，慎终如始</w:t>
      </w:r>
      <w:r>
        <w:rPr>
          <w:rFonts w:hint="eastAsia" w:ascii="仿宋_GB2312" w:hAnsi="仿宋_GB2312" w:eastAsia="仿宋_GB2312" w:cs="仿宋_GB2312"/>
          <w:color w:val="auto"/>
          <w:sz w:val="32"/>
          <w:szCs w:val="32"/>
          <w:lang w:val="en-US" w:eastAsia="zh-CN"/>
        </w:rPr>
        <w:t>保障重点领域支出，为全县经济社会高质量发展筑牢坚实财政根基。</w:t>
      </w:r>
    </w:p>
    <w:p w14:paraId="423CBEE6">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left="0" w:firstLine="643" w:firstLineChars="200"/>
        <w:jc w:val="both"/>
        <w:textAlignment w:val="auto"/>
        <w:rPr>
          <w:rFonts w:hint="eastAsia" w:ascii="仿宋_GB2312" w:hAnsi="仿宋_GB2312" w:eastAsia="仿宋_GB2312" w:cs="仿宋_GB2312"/>
          <w:b/>
          <w:bCs/>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sz w:val="32"/>
          <w:szCs w:val="32"/>
          <w:highlight w:val="none"/>
          <w:shd w:val="clear" w:color="auto" w:fill="auto"/>
          <w:lang w:val="en-US" w:eastAsia="zh-CN"/>
        </w:rPr>
        <w:t>1.奋力开拓，深入推进</w:t>
      </w:r>
      <w:r>
        <w:rPr>
          <w:rFonts w:hint="eastAsia" w:ascii="仿宋_GB2312" w:hAnsi="仿宋_GB2312" w:eastAsia="仿宋_GB2312" w:cs="仿宋_GB2312"/>
          <w:b/>
          <w:bCs/>
          <w:color w:val="auto"/>
          <w:sz w:val="32"/>
          <w:szCs w:val="32"/>
          <w:highlight w:val="none"/>
          <w:shd w:val="clear" w:color="auto" w:fill="auto"/>
          <w:lang w:eastAsia="zh-CN"/>
        </w:rPr>
        <w:t>财源建设工程</w:t>
      </w:r>
      <w:r>
        <w:rPr>
          <w:rFonts w:hint="eastAsia" w:ascii="仿宋_GB2312" w:hAnsi="仿宋_GB2312" w:eastAsia="仿宋_GB2312" w:cs="仿宋_GB2312"/>
          <w:b/>
          <w:color w:val="auto"/>
          <w:sz w:val="32"/>
          <w:szCs w:val="32"/>
          <w:highlight w:val="none"/>
          <w:shd w:val="clear" w:color="auto" w:fill="auto"/>
          <w:lang w:val="en-US" w:eastAsia="zh-CN"/>
        </w:rPr>
        <w:t>。</w:t>
      </w:r>
      <w:r>
        <w:rPr>
          <w:rFonts w:hint="eastAsia" w:ascii="仿宋_GB2312" w:hAnsi="仿宋_GB2312" w:eastAsia="仿宋_GB2312" w:cs="仿宋_GB2312"/>
          <w:color w:val="auto"/>
          <w:kern w:val="2"/>
          <w:sz w:val="32"/>
          <w:szCs w:val="32"/>
          <w:highlight w:val="none"/>
          <w:shd w:val="clear" w:color="auto" w:fill="auto"/>
          <w:lang w:val="en-US" w:eastAsia="zh-CN" w:bidi="ar-SA"/>
        </w:rPr>
        <w:t>坚持以财源建设实效持续巩固拓展发展根基、增强保障能力，推动财政收入稳中有进、量质齐升，超额完成全年</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一般公共预算收入目标任务</w:t>
      </w:r>
      <w:r>
        <w:rPr>
          <w:rFonts w:hint="eastAsia" w:ascii="仿宋_GB2312" w:hAnsi="仿宋_GB2312" w:eastAsia="仿宋_GB2312" w:cs="仿宋_GB2312"/>
          <w:color w:val="auto"/>
          <w:kern w:val="2"/>
          <w:sz w:val="32"/>
          <w:szCs w:val="32"/>
          <w:highlight w:val="none"/>
          <w:shd w:val="clear" w:color="auto" w:fill="auto"/>
          <w:lang w:val="en-US" w:eastAsia="zh-CN" w:bidi="ar-SA"/>
        </w:rPr>
        <w:t>。</w:t>
      </w:r>
    </w:p>
    <w:p w14:paraId="0428632C">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left="0" w:firstLine="643" w:firstLineChars="200"/>
        <w:jc w:val="both"/>
        <w:textAlignment w:val="auto"/>
        <w:rPr>
          <w:rFonts w:hint="eastAsia" w:ascii="仿宋_GB2312" w:hAnsi="仿宋_GB2312" w:eastAsia="仿宋_GB2312" w:cs="仿宋_GB2312"/>
          <w:color w:val="auto"/>
          <w:spacing w:val="6"/>
          <w:kern w:val="2"/>
          <w:sz w:val="32"/>
          <w:szCs w:val="32"/>
          <w:highlight w:val="none"/>
          <w:shd w:val="clear" w:color="auto" w:fill="auto"/>
          <w:lang w:val="en-US" w:eastAsia="zh-CN" w:bidi="ar-SA"/>
        </w:rPr>
      </w:pPr>
      <w:r>
        <w:rPr>
          <w:rFonts w:hint="eastAsia" w:ascii="仿宋_GB2312" w:hAnsi="仿宋_GB2312" w:eastAsia="仿宋_GB2312" w:cs="仿宋_GB2312"/>
          <w:b/>
          <w:bCs/>
          <w:color w:val="auto"/>
          <w:spacing w:val="0"/>
          <w:kern w:val="2"/>
          <w:sz w:val="32"/>
          <w:szCs w:val="32"/>
          <w:highlight w:val="none"/>
          <w:shd w:val="clear" w:color="auto" w:fill="auto"/>
          <w:lang w:val="en-US" w:eastAsia="zh-CN" w:bidi="ar-SA"/>
        </w:rPr>
        <w:t>政策赋能稳主体，激活增收内生动力。</w:t>
      </w:r>
      <w:r>
        <w:rPr>
          <w:rFonts w:hint="eastAsia" w:ascii="仿宋_GB2312" w:hAnsi="仿宋_GB2312" w:eastAsia="仿宋_GB2312" w:cs="仿宋_GB2312"/>
          <w:color w:val="auto"/>
          <w:spacing w:val="0"/>
          <w:kern w:val="2"/>
          <w:sz w:val="32"/>
          <w:szCs w:val="32"/>
          <w:highlight w:val="none"/>
          <w:shd w:val="clear" w:color="auto" w:fill="auto"/>
          <w:lang w:val="en-US" w:eastAsia="zh-CN" w:bidi="ar-SA"/>
        </w:rPr>
        <w:t>落实减税降费、</w:t>
      </w:r>
      <w:r>
        <w:rPr>
          <w:rFonts w:hint="eastAsia" w:ascii="仿宋_GB2312" w:hAnsi="仿宋_GB2312" w:eastAsia="仿宋_GB2312" w:cs="仿宋_GB2312"/>
          <w:b w:val="0"/>
          <w:bCs w:val="0"/>
          <w:color w:val="auto"/>
          <w:spacing w:val="6"/>
          <w:kern w:val="2"/>
          <w:sz w:val="32"/>
          <w:szCs w:val="32"/>
          <w:highlight w:val="none"/>
          <w:shd w:val="clear" w:color="auto" w:fill="auto"/>
          <w:lang w:val="en-US" w:eastAsia="zh-CN" w:bidi="ar-SA"/>
        </w:rPr>
        <w:t>增值税留抵退税</w:t>
      </w:r>
      <w:r>
        <w:rPr>
          <w:rFonts w:hint="eastAsia" w:ascii="仿宋_GB2312" w:hAnsi="仿宋_GB2312" w:eastAsia="仿宋_GB2312" w:cs="仿宋_GB2312"/>
          <w:color w:val="auto"/>
          <w:spacing w:val="6"/>
          <w:kern w:val="2"/>
          <w:sz w:val="32"/>
          <w:szCs w:val="32"/>
          <w:highlight w:val="none"/>
          <w:shd w:val="clear" w:color="auto" w:fill="auto"/>
          <w:lang w:val="en-US" w:eastAsia="zh-CN" w:bidi="ar-SA"/>
        </w:rPr>
        <w:t>等惠企纾困政策，</w:t>
      </w:r>
      <w:r>
        <w:rPr>
          <w:rFonts w:hint="eastAsia" w:ascii="仿宋_GB2312" w:hAnsi="仿宋_GB2312" w:eastAsia="仿宋_GB2312" w:cs="仿宋_GB2312"/>
          <w:b w:val="0"/>
          <w:bCs w:val="0"/>
          <w:color w:val="auto"/>
          <w:spacing w:val="6"/>
          <w:sz w:val="32"/>
          <w:szCs w:val="32"/>
          <w:highlight w:val="none"/>
          <w:shd w:val="clear" w:color="auto" w:fill="auto"/>
          <w:lang w:val="en-US" w:eastAsia="zh-CN"/>
        </w:rPr>
        <w:t>全年增值税退税及调库2798</w:t>
      </w:r>
      <w:r>
        <w:rPr>
          <w:rFonts w:hint="eastAsia" w:ascii="仿宋_GB2312" w:hAnsi="仿宋_GB2312" w:eastAsia="仿宋_GB2312" w:cs="仿宋_GB2312"/>
          <w:b w:val="0"/>
          <w:bCs w:val="0"/>
          <w:color w:val="auto"/>
          <w:spacing w:val="0"/>
          <w:sz w:val="32"/>
          <w:szCs w:val="32"/>
          <w:highlight w:val="none"/>
          <w:shd w:val="clear" w:color="auto" w:fill="auto"/>
          <w:lang w:val="en-US" w:eastAsia="zh-CN"/>
        </w:rPr>
        <w:t>万元</w:t>
      </w:r>
      <w:r>
        <w:rPr>
          <w:rFonts w:hint="eastAsia" w:ascii="仿宋_GB2312" w:hAnsi="仿宋_GB2312" w:eastAsia="仿宋_GB2312" w:cs="仿宋_GB2312"/>
          <w:color w:val="auto"/>
          <w:spacing w:val="0"/>
          <w:kern w:val="2"/>
          <w:sz w:val="32"/>
          <w:szCs w:val="32"/>
          <w:highlight w:val="none"/>
          <w:shd w:val="clear" w:color="auto" w:fill="auto"/>
          <w:lang w:val="en-US" w:eastAsia="zh-CN" w:bidi="ar-SA"/>
        </w:rPr>
        <w:t>，兑付设备更新、产业融合发展等奖补资金7400万元，</w:t>
      </w:r>
      <w:r>
        <w:rPr>
          <w:rFonts w:hint="eastAsia" w:ascii="仿宋_GB2312" w:hAnsi="仿宋_GB2312" w:eastAsia="仿宋_GB2312" w:cs="仿宋_GB2312"/>
          <w:color w:val="auto"/>
          <w:spacing w:val="6"/>
          <w:kern w:val="2"/>
          <w:sz w:val="32"/>
          <w:szCs w:val="32"/>
          <w:highlight w:val="none"/>
          <w:shd w:val="clear" w:color="auto" w:fill="auto"/>
          <w:lang w:val="en-US" w:eastAsia="zh-CN" w:bidi="ar-SA"/>
        </w:rPr>
        <w:t>支持葡萄酒、冷凉蔬菜等特色农业产业补贴4687万元，实现“放水养鱼”与财政增收良性循环，为经济持续回升向好注入持久动力。</w:t>
      </w:r>
    </w:p>
    <w:p w14:paraId="1EA61CE7">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left="0" w:firstLine="667" w:firstLineChars="200"/>
        <w:jc w:val="both"/>
        <w:textAlignment w:val="auto"/>
        <w:rPr>
          <w:rFonts w:hint="eastAsia" w:ascii="仿宋_GB2312" w:hAnsi="仿宋_GB2312" w:eastAsia="仿宋_GB2312" w:cs="仿宋_GB2312"/>
          <w:color w:val="auto"/>
          <w:spacing w:val="6"/>
          <w:kern w:val="2"/>
          <w:sz w:val="32"/>
          <w:szCs w:val="32"/>
          <w:highlight w:val="none"/>
          <w:shd w:val="clear" w:color="auto" w:fill="auto"/>
          <w:lang w:val="en-US" w:eastAsia="zh-CN" w:bidi="ar-SA"/>
        </w:rPr>
      </w:pPr>
      <w:r>
        <w:rPr>
          <w:rFonts w:hint="eastAsia" w:ascii="仿宋_GB2312" w:hAnsi="仿宋_GB2312" w:eastAsia="仿宋_GB2312" w:cs="仿宋_GB2312"/>
          <w:b/>
          <w:bCs/>
          <w:color w:val="auto"/>
          <w:spacing w:val="6"/>
          <w:kern w:val="2"/>
          <w:sz w:val="32"/>
          <w:szCs w:val="32"/>
          <w:highlight w:val="none"/>
          <w:shd w:val="clear" w:color="auto" w:fill="auto"/>
          <w:lang w:val="en-US" w:eastAsia="zh-CN" w:bidi="ar-SA"/>
        </w:rPr>
        <w:t>挖潜增收提质效，拓宽财力增长渠道。</w:t>
      </w:r>
      <w:r>
        <w:rPr>
          <w:rFonts w:hint="eastAsia" w:ascii="仿宋_GB2312" w:hAnsi="仿宋_GB2312" w:eastAsia="仿宋_GB2312" w:cs="仿宋_GB2312"/>
          <w:color w:val="auto"/>
          <w:spacing w:val="6"/>
          <w:kern w:val="2"/>
          <w:sz w:val="32"/>
          <w:szCs w:val="32"/>
          <w:highlight w:val="none"/>
          <w:shd w:val="clear" w:color="auto" w:fill="auto"/>
          <w:lang w:val="en-US" w:eastAsia="zh-CN" w:bidi="ar-SA"/>
        </w:rPr>
        <w:t>建立健全财税联动征管机制，统筹推进税收征管、欠税清缴、资产盘活等重点工作。财税部门主动作为、精准发力，协调落实增值税免抵调库5236万元、企业分红征收个人所得税1547万元，有效对冲税收收入下行压力。依法依规盘活存量资源资产，实现非税收入58963万元，同比增长33.4%，为财政收入稳定增长筑牢坚实根基。</w:t>
      </w:r>
    </w:p>
    <w:p w14:paraId="3BAEAE09">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left="0" w:firstLine="643"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争收并举固保障，提升财政统筹能力</w:t>
      </w:r>
      <w:r>
        <w:rPr>
          <w:rFonts w:hint="eastAsia" w:ascii="仿宋_GB2312" w:hAnsi="仿宋_GB2312" w:eastAsia="仿宋_GB2312" w:cs="仿宋_GB2312"/>
          <w:b/>
          <w:bCs/>
          <w:color w:val="auto"/>
          <w:kern w:val="2"/>
          <w:sz w:val="32"/>
          <w:szCs w:val="32"/>
          <w:highlight w:val="none"/>
          <w:shd w:val="clear" w:color="auto" w:fill="auto"/>
          <w:lang w:val="en-US" w:eastAsia="zh-CN" w:bidi="ar-SA"/>
        </w:rPr>
        <w:t>。</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紧盯中央预算内投资、超长期特别国债、专项债券等政策机遇，围绕基础设施建设、民生改善、生态保护、乡村振兴等重点领域，精准谋划、高效申报项目，全力争取区市各类补助资金399806万元。深化“四闲”专项整治，收回闲置资金10000万元，进一步优化财政资金配置，增强县级财政统筹和保障能力。</w:t>
      </w:r>
    </w:p>
    <w:p w14:paraId="46C3071E">
      <w:pPr>
        <w:pStyle w:val="9"/>
        <w:keepNext w:val="0"/>
        <w:keepLines w:val="0"/>
        <w:pageBreakBefore w:val="0"/>
        <w:widowControl w:val="0"/>
        <w:kinsoku/>
        <w:wordWrap/>
        <w:overflowPunct/>
        <w:topLinePunct w:val="0"/>
        <w:autoSpaceDN/>
        <w:bidi w:val="0"/>
        <w:adjustRightInd/>
        <w:snapToGrid/>
        <w:spacing w:line="540" w:lineRule="exact"/>
        <w:ind w:left="0" w:leftChars="0" w:firstLine="643" w:firstLineChars="200"/>
        <w:jc w:val="both"/>
        <w:textAlignment w:val="auto"/>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sz w:val="32"/>
          <w:szCs w:val="32"/>
          <w:highlight w:val="none"/>
          <w:shd w:val="clear" w:color="auto" w:fill="auto"/>
          <w:lang w:val="en-US" w:eastAsia="zh-CN"/>
        </w:rPr>
        <w:t>2.</w:t>
      </w:r>
      <w:r>
        <w:rPr>
          <w:rFonts w:hint="eastAsia" w:ascii="仿宋_GB2312" w:hAnsi="仿宋_GB2312" w:eastAsia="仿宋_GB2312" w:cs="仿宋_GB2312"/>
          <w:b/>
          <w:bCs/>
          <w:color w:val="auto"/>
          <w:sz w:val="32"/>
          <w:szCs w:val="32"/>
          <w:highlight w:val="none"/>
          <w:shd w:val="clear" w:color="auto" w:fill="auto"/>
          <w:lang w:eastAsia="zh-CN"/>
        </w:rPr>
        <w:t>兜牢底线，重点民生保障有温有力。</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坚持以人民为中心，持续优化财政支出结构，靶向发力补短板、兜底线、惠民生，推动40件民生实事高质量办结，让发展成果更多惠及全县群众。</w:t>
      </w:r>
    </w:p>
    <w:p w14:paraId="7FA1F2D1">
      <w:pPr>
        <w:pStyle w:val="9"/>
        <w:keepNext w:val="0"/>
        <w:keepLines w:val="0"/>
        <w:pageBreakBefore w:val="0"/>
        <w:widowControl w:val="0"/>
        <w:kinsoku/>
        <w:wordWrap/>
        <w:overflowPunct/>
        <w:topLinePunct w:val="0"/>
        <w:autoSpaceDN/>
        <w:bidi w:val="0"/>
        <w:adjustRightInd/>
        <w:snapToGrid/>
        <w:spacing w:line="540" w:lineRule="exact"/>
        <w:ind w:left="0" w:leftChars="0" w:firstLine="643" w:firstLineChars="200"/>
        <w:jc w:val="both"/>
        <w:textAlignment w:val="auto"/>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sz w:val="32"/>
          <w:szCs w:val="32"/>
          <w:highlight w:val="none"/>
          <w:shd w:val="clear" w:color="auto" w:fill="auto"/>
          <w:lang w:eastAsia="zh-CN"/>
        </w:rPr>
        <w:t>坚守“三保”底线，筑牢运转根基。</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全面落实积极财政政策，不断扩大财政支出盘子，保持必要的支出力度，全年财政支出同比增长13.3%。严格执行“三保”优先机制，财政重点民生支出312729万元，占一般公共预算支出的75%，保障县域经济社会平稳运行。</w:t>
      </w:r>
    </w:p>
    <w:p w14:paraId="2873CCBB">
      <w:pPr>
        <w:pStyle w:val="9"/>
        <w:keepNext w:val="0"/>
        <w:keepLines w:val="0"/>
        <w:pageBreakBefore w:val="0"/>
        <w:widowControl w:val="0"/>
        <w:kinsoku/>
        <w:wordWrap/>
        <w:overflowPunct/>
        <w:topLinePunct w:val="0"/>
        <w:autoSpaceDN/>
        <w:bidi w:val="0"/>
        <w:adjustRightInd/>
        <w:snapToGrid/>
        <w:spacing w:line="540" w:lineRule="exact"/>
        <w:ind w:left="0" w:leftChars="0" w:firstLine="643" w:firstLineChars="200"/>
        <w:jc w:val="both"/>
        <w:textAlignment w:val="auto"/>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sz w:val="32"/>
          <w:szCs w:val="32"/>
          <w:highlight w:val="none"/>
          <w:shd w:val="clear" w:color="auto" w:fill="auto"/>
          <w:lang w:eastAsia="zh-CN"/>
        </w:rPr>
        <w:t>坚持教育优先，夯实发展之基。</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始终将教育置于财政投入优先顺序，全年教育支出65134万元，保持只增不减。推进学校撤并整合、集团化办学，新增学位3120个，支持新银学校、园艺幼儿园等重点项目建设及教学设备采购，持续改善城乡办学条件，推动教育高质量均衡发展，让每个孩子享有公平而有质量的教育。</w:t>
      </w:r>
    </w:p>
    <w:p w14:paraId="146F9B16">
      <w:pPr>
        <w:pStyle w:val="9"/>
        <w:keepNext w:val="0"/>
        <w:keepLines w:val="0"/>
        <w:pageBreakBefore w:val="0"/>
        <w:widowControl w:val="0"/>
        <w:kinsoku/>
        <w:wordWrap/>
        <w:overflowPunct/>
        <w:topLinePunct w:val="0"/>
        <w:autoSpaceDN/>
        <w:bidi w:val="0"/>
        <w:adjustRightInd/>
        <w:snapToGrid/>
        <w:spacing w:line="54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eastAsia="zh-CN"/>
        </w:rPr>
      </w:pPr>
      <w:r>
        <w:rPr>
          <w:rFonts w:hint="eastAsia" w:ascii="仿宋_GB2312" w:hAnsi="仿宋_GB2312" w:eastAsia="仿宋_GB2312" w:cs="仿宋_GB2312"/>
          <w:b/>
          <w:bCs/>
          <w:color w:val="auto"/>
          <w:sz w:val="32"/>
          <w:szCs w:val="32"/>
          <w:highlight w:val="none"/>
          <w:shd w:val="clear" w:color="auto" w:fill="auto"/>
          <w:lang w:eastAsia="zh-CN"/>
        </w:rPr>
        <w:t>创优健康服务，守护生命安全。</w:t>
      </w:r>
      <w:r>
        <w:rPr>
          <w:rFonts w:hint="eastAsia" w:ascii="仿宋_GB2312" w:hAnsi="仿宋_GB2312" w:eastAsia="仿宋_GB2312" w:cs="仿宋_GB2312"/>
          <w:b w:val="0"/>
          <w:bCs w:val="0"/>
          <w:color w:val="auto"/>
          <w:sz w:val="32"/>
          <w:szCs w:val="32"/>
          <w:highlight w:val="none"/>
          <w:shd w:val="clear" w:color="auto" w:fill="auto"/>
          <w:lang w:eastAsia="zh-CN"/>
        </w:rPr>
        <w:t>全年安排卫生健康支出</w:t>
      </w:r>
      <w:r>
        <w:rPr>
          <w:rFonts w:hint="eastAsia" w:ascii="仿宋_GB2312" w:hAnsi="仿宋_GB2312" w:eastAsia="仿宋_GB2312" w:cs="仿宋_GB2312"/>
          <w:b w:val="0"/>
          <w:bCs w:val="0"/>
          <w:color w:val="auto"/>
          <w:sz w:val="32"/>
          <w:szCs w:val="32"/>
          <w:highlight w:val="none"/>
          <w:shd w:val="clear" w:color="auto" w:fill="auto"/>
          <w:lang w:val="en-US" w:eastAsia="zh-CN"/>
        </w:rPr>
        <w:t>29325万</w:t>
      </w:r>
      <w:r>
        <w:rPr>
          <w:rFonts w:hint="eastAsia" w:ascii="仿宋_GB2312" w:hAnsi="仿宋_GB2312" w:eastAsia="仿宋_GB2312" w:cs="仿宋_GB2312"/>
          <w:b w:val="0"/>
          <w:bCs w:val="0"/>
          <w:color w:val="auto"/>
          <w:sz w:val="32"/>
          <w:szCs w:val="32"/>
          <w:highlight w:val="none"/>
          <w:shd w:val="clear" w:color="auto" w:fill="auto"/>
          <w:lang w:eastAsia="zh-CN"/>
        </w:rPr>
        <w:t>元，聚焦医疗资源扩容提质，支持县医院“一院两区”高效运行，推进“平急结合”医疗应急救治能力提升，完善县乡村三级医疗卫生服务体系，不断满足群众日益增长的医疗卫生需求，筑牢健康防护网。</w:t>
      </w:r>
    </w:p>
    <w:p w14:paraId="3BC44628">
      <w:pPr>
        <w:pStyle w:val="9"/>
        <w:keepNext w:val="0"/>
        <w:keepLines w:val="0"/>
        <w:pageBreakBefore w:val="0"/>
        <w:widowControl w:val="0"/>
        <w:kinsoku/>
        <w:wordWrap/>
        <w:overflowPunct/>
        <w:topLinePunct w:val="0"/>
        <w:autoSpaceDN/>
        <w:bidi w:val="0"/>
        <w:adjustRightInd/>
        <w:snapToGrid/>
        <w:spacing w:line="54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eastAsia="zh-CN"/>
        </w:rPr>
        <w:t>强化就业支撑，助力增收致富。</w:t>
      </w:r>
      <w:r>
        <w:rPr>
          <w:rFonts w:hint="eastAsia" w:ascii="仿宋_GB2312" w:hAnsi="仿宋_GB2312" w:eastAsia="仿宋_GB2312" w:cs="仿宋_GB2312"/>
          <w:b w:val="0"/>
          <w:bCs w:val="0"/>
          <w:color w:val="auto"/>
          <w:sz w:val="32"/>
          <w:szCs w:val="32"/>
          <w:highlight w:val="none"/>
          <w:shd w:val="clear" w:color="auto" w:fill="auto"/>
          <w:lang w:eastAsia="zh-CN"/>
        </w:rPr>
        <w:t>实施就业服务提质工程，统筹资金</w:t>
      </w:r>
      <w:r>
        <w:rPr>
          <w:rFonts w:hint="eastAsia" w:ascii="仿宋_GB2312" w:hAnsi="仿宋_GB2312" w:eastAsia="仿宋_GB2312" w:cs="仿宋_GB2312"/>
          <w:b w:val="0"/>
          <w:bCs w:val="0"/>
          <w:color w:val="auto"/>
          <w:sz w:val="32"/>
          <w:szCs w:val="32"/>
          <w:highlight w:val="none"/>
          <w:shd w:val="clear" w:color="auto" w:fill="auto"/>
          <w:lang w:val="en-US" w:eastAsia="zh-CN"/>
        </w:rPr>
        <w:t>9007</w:t>
      </w:r>
      <w:r>
        <w:rPr>
          <w:rFonts w:hint="eastAsia" w:ascii="仿宋_GB2312" w:hAnsi="仿宋_GB2312" w:eastAsia="仿宋_GB2312" w:cs="仿宋_GB2312"/>
          <w:b w:val="0"/>
          <w:bCs w:val="0"/>
          <w:color w:val="auto"/>
          <w:sz w:val="32"/>
          <w:szCs w:val="32"/>
          <w:highlight w:val="none"/>
          <w:shd w:val="clear" w:color="auto" w:fill="auto"/>
          <w:lang w:eastAsia="zh-CN"/>
        </w:rPr>
        <w:t>万元，落实“三支一扶”生活补贴、公益性岗位补贴等政策，开展重点群体技能与创业培训，重点支持高校毕业生、退役军人等群体稳定就业。</w:t>
      </w:r>
    </w:p>
    <w:p w14:paraId="5F78CF84">
      <w:pPr>
        <w:pStyle w:val="9"/>
        <w:keepNext w:val="0"/>
        <w:keepLines w:val="0"/>
        <w:pageBreakBefore w:val="0"/>
        <w:widowControl w:val="0"/>
        <w:kinsoku/>
        <w:wordWrap/>
        <w:overflowPunct/>
        <w:topLinePunct w:val="0"/>
        <w:autoSpaceDN/>
        <w:bidi w:val="0"/>
        <w:adjustRightInd/>
        <w:snapToGrid/>
        <w:spacing w:line="54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yellow"/>
          <w:shd w:val="clear" w:color="auto" w:fill="auto"/>
          <w:lang w:eastAsia="zh-CN"/>
        </w:rPr>
      </w:pPr>
      <w:r>
        <w:rPr>
          <w:rFonts w:hint="eastAsia" w:ascii="仿宋_GB2312" w:hAnsi="仿宋_GB2312" w:eastAsia="仿宋_GB2312" w:cs="仿宋_GB2312"/>
          <w:b/>
          <w:bCs/>
          <w:color w:val="auto"/>
          <w:sz w:val="32"/>
          <w:szCs w:val="32"/>
          <w:highlight w:val="none"/>
          <w:shd w:val="clear" w:color="auto" w:fill="auto"/>
          <w:lang w:eastAsia="zh-CN"/>
        </w:rPr>
        <w:t>健全社保体系，兜牢保障底线。</w:t>
      </w:r>
      <w:r>
        <w:rPr>
          <w:rFonts w:hint="eastAsia" w:ascii="仿宋_GB2312" w:hAnsi="仿宋_GB2312" w:eastAsia="仿宋_GB2312" w:cs="仿宋_GB2312"/>
          <w:b w:val="0"/>
          <w:bCs w:val="0"/>
          <w:color w:val="auto"/>
          <w:sz w:val="32"/>
          <w:szCs w:val="32"/>
          <w:highlight w:val="none"/>
          <w:shd w:val="clear" w:color="auto" w:fill="auto"/>
          <w:lang w:eastAsia="zh-CN"/>
        </w:rPr>
        <w:t>持续加大社会保障投入，全年统筹安排养老、医疗等社会保险财政补助资金</w:t>
      </w:r>
      <w:r>
        <w:rPr>
          <w:rFonts w:hint="eastAsia" w:ascii="仿宋_GB2312" w:hAnsi="仿宋_GB2312" w:eastAsia="仿宋_GB2312" w:cs="仿宋_GB2312"/>
          <w:b w:val="0"/>
          <w:bCs w:val="0"/>
          <w:color w:val="auto"/>
          <w:sz w:val="32"/>
          <w:szCs w:val="32"/>
          <w:highlight w:val="none"/>
          <w:shd w:val="clear" w:color="auto" w:fill="auto"/>
          <w:lang w:val="en-US" w:eastAsia="zh-CN"/>
        </w:rPr>
        <w:t>43018万</w:t>
      </w:r>
      <w:r>
        <w:rPr>
          <w:rFonts w:hint="eastAsia" w:ascii="仿宋_GB2312" w:hAnsi="仿宋_GB2312" w:eastAsia="仿宋_GB2312" w:cs="仿宋_GB2312"/>
          <w:b w:val="0"/>
          <w:bCs w:val="0"/>
          <w:color w:val="auto"/>
          <w:sz w:val="32"/>
          <w:szCs w:val="32"/>
          <w:highlight w:val="none"/>
          <w:shd w:val="clear" w:color="auto" w:fill="auto"/>
          <w:lang w:eastAsia="zh-CN"/>
        </w:rPr>
        <w:t>元，实现应保尽保、应补尽补，全县基本医疗保险参保率达</w:t>
      </w:r>
      <w:r>
        <w:rPr>
          <w:rFonts w:hint="eastAsia" w:ascii="仿宋_GB2312" w:hAnsi="仿宋_GB2312" w:eastAsia="仿宋_GB2312" w:cs="仿宋_GB2312"/>
          <w:b w:val="0"/>
          <w:bCs w:val="0"/>
          <w:color w:val="auto"/>
          <w:sz w:val="32"/>
          <w:szCs w:val="32"/>
          <w:highlight w:val="none"/>
          <w:shd w:val="clear" w:color="auto" w:fill="auto"/>
          <w:lang w:val="en-US" w:eastAsia="zh-CN"/>
        </w:rPr>
        <w:t>100%</w:t>
      </w:r>
      <w:r>
        <w:rPr>
          <w:rFonts w:hint="eastAsia" w:ascii="仿宋_GB2312" w:hAnsi="仿宋_GB2312" w:eastAsia="仿宋_GB2312" w:cs="仿宋_GB2312"/>
          <w:b w:val="0"/>
          <w:bCs w:val="0"/>
          <w:color w:val="auto"/>
          <w:sz w:val="32"/>
          <w:szCs w:val="32"/>
          <w:highlight w:val="none"/>
          <w:shd w:val="clear" w:color="auto" w:fill="auto"/>
          <w:lang w:eastAsia="zh-CN"/>
        </w:rPr>
        <w:t>。持续巩固拓展城乡低保及残疾人补贴政策，发放保障资金</w:t>
      </w:r>
      <w:r>
        <w:rPr>
          <w:rFonts w:hint="eastAsia" w:ascii="仿宋_GB2312" w:hAnsi="仿宋_GB2312" w:eastAsia="仿宋_GB2312" w:cs="仿宋_GB2312"/>
          <w:b w:val="0"/>
          <w:bCs w:val="0"/>
          <w:color w:val="auto"/>
          <w:sz w:val="32"/>
          <w:szCs w:val="32"/>
          <w:highlight w:val="none"/>
          <w:shd w:val="clear" w:color="auto" w:fill="auto"/>
          <w:lang w:val="en-US" w:eastAsia="zh-CN"/>
        </w:rPr>
        <w:t>6583</w:t>
      </w:r>
      <w:r>
        <w:rPr>
          <w:rFonts w:hint="eastAsia" w:ascii="仿宋_GB2312" w:hAnsi="仿宋_GB2312" w:eastAsia="仿宋_GB2312" w:cs="仿宋_GB2312"/>
          <w:b w:val="0"/>
          <w:bCs w:val="0"/>
          <w:color w:val="auto"/>
          <w:sz w:val="32"/>
          <w:szCs w:val="32"/>
          <w:highlight w:val="none"/>
          <w:shd w:val="clear" w:color="auto" w:fill="auto"/>
          <w:lang w:eastAsia="zh-CN"/>
        </w:rPr>
        <w:t>万元，兜牢重点群体基本生活底线。足额兑付义务兵家庭优待金等补助资金</w:t>
      </w:r>
      <w:r>
        <w:rPr>
          <w:rFonts w:hint="eastAsia" w:ascii="仿宋_GB2312" w:hAnsi="仿宋_GB2312" w:eastAsia="仿宋_GB2312" w:cs="仿宋_GB2312"/>
          <w:b w:val="0"/>
          <w:bCs w:val="0"/>
          <w:color w:val="auto"/>
          <w:sz w:val="32"/>
          <w:szCs w:val="32"/>
          <w:highlight w:val="none"/>
          <w:shd w:val="clear" w:color="auto" w:fill="auto"/>
          <w:lang w:val="en-US" w:eastAsia="zh-CN"/>
        </w:rPr>
        <w:t>2472万元，</w:t>
      </w:r>
      <w:r>
        <w:rPr>
          <w:rFonts w:hint="eastAsia" w:ascii="仿宋_GB2312" w:hAnsi="仿宋_GB2312" w:eastAsia="仿宋_GB2312" w:cs="仿宋_GB2312"/>
          <w:b w:val="0"/>
          <w:bCs w:val="0"/>
          <w:color w:val="auto"/>
          <w:sz w:val="32"/>
          <w:szCs w:val="32"/>
          <w:highlight w:val="none"/>
          <w:shd w:val="clear" w:color="auto" w:fill="auto"/>
          <w:lang w:eastAsia="zh-CN"/>
        </w:rPr>
        <w:t>为我县获评全国双拥模范县提供坚实保障。</w:t>
      </w:r>
    </w:p>
    <w:p w14:paraId="3CF1E67E">
      <w:pPr>
        <w:keepNext w:val="0"/>
        <w:keepLines w:val="0"/>
        <w:pageBreakBefore w:val="0"/>
        <w:widowControl w:val="0"/>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仿宋_GB2312" w:hAnsi="仿宋_GB2312" w:eastAsia="仿宋_GB2312" w:cs="仿宋_GB2312"/>
          <w:b/>
          <w:color w:val="auto"/>
          <w:kern w:val="2"/>
          <w:sz w:val="32"/>
          <w:szCs w:val="32"/>
          <w:highlight w:val="none"/>
          <w:shd w:val="clear" w:color="auto" w:fill="auto"/>
          <w:lang w:val="en-US" w:eastAsia="zh-CN" w:bidi="ar-SA"/>
        </w:rPr>
        <w:t>3.统筹资源，全面推进城乡融合发展。</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坚持系统观念，以城乡融合发展为主线，整合各类资金资源，推动县域发展质量、效益、动能全面提升，为高质量发展奠定坚实基底。</w:t>
      </w:r>
    </w:p>
    <w:p w14:paraId="290EF1BB">
      <w:pPr>
        <w:keepNext w:val="0"/>
        <w:keepLines w:val="0"/>
        <w:pageBreakBefore w:val="0"/>
        <w:widowControl w:val="0"/>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深化闽宁协作，激活乡村振兴动能。</w:t>
      </w:r>
      <w:r>
        <w:rPr>
          <w:rFonts w:hint="eastAsia" w:ascii="仿宋_GB2312" w:hAnsi="仿宋_GB2312" w:eastAsia="仿宋_GB2312" w:cs="仿宋_GB2312"/>
          <w:b w:val="0"/>
          <w:bCs w:val="0"/>
          <w:color w:val="auto"/>
          <w:sz w:val="32"/>
          <w:szCs w:val="32"/>
          <w:highlight w:val="none"/>
          <w:shd w:val="clear" w:color="auto" w:fill="auto"/>
          <w:lang w:val="en-US" w:eastAsia="zh-CN"/>
        </w:rPr>
        <w:t>统筹巩固拓展脱贫攻坚成果同乡村振兴有效衔接资金19975万元，重点支持文旅融合、菌草科研技术推广等富民项目，持续拓宽“山海协作、共赢发展”之路。盘活闽宁美食街、塞上榕等闲置资产10.22万㎡，为闽宁镇高质量发展注入新活力，让闽宁协作成果惠及更多群众。</w:t>
      </w:r>
    </w:p>
    <w:p w14:paraId="549F86DD">
      <w:pPr>
        <w:keepNext w:val="0"/>
        <w:keepLines w:val="0"/>
        <w:pageBreakBefore w:val="0"/>
        <w:widowControl w:val="0"/>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做强现代农业，夯实乡村发展根基。</w:t>
      </w:r>
      <w:r>
        <w:rPr>
          <w:rFonts w:hint="eastAsia" w:ascii="仿宋_GB2312" w:hAnsi="仿宋_GB2312" w:eastAsia="仿宋_GB2312" w:cs="仿宋_GB2312"/>
          <w:color w:val="auto"/>
          <w:kern w:val="2"/>
          <w:sz w:val="32"/>
          <w:szCs w:val="32"/>
          <w:highlight w:val="none"/>
          <w:shd w:val="clear" w:color="auto" w:fill="auto"/>
          <w:lang w:val="en-US" w:eastAsia="zh-CN" w:bidi="ar-SA"/>
        </w:rPr>
        <w:t>紧紧围绕乡村振兴战略，</w:t>
      </w:r>
      <w:r>
        <w:rPr>
          <w:rFonts w:hint="eastAsia" w:ascii="仿宋_GB2312" w:hAnsi="仿宋_GB2312" w:eastAsia="仿宋_GB2312" w:cs="仿宋_GB2312"/>
          <w:b w:val="0"/>
          <w:bCs w:val="0"/>
          <w:color w:val="auto"/>
          <w:sz w:val="32"/>
          <w:szCs w:val="32"/>
          <w:highlight w:val="none"/>
          <w:shd w:val="clear" w:color="auto" w:fill="auto"/>
          <w:lang w:val="en-US" w:eastAsia="zh-CN"/>
        </w:rPr>
        <w:t>统筹整合涉农资金33977万元，支持新建和改造提升高标准农田7万亩，以工代赈、旧棚改造、冷凉蔬菜产业集群等重点项目协同发力，为现代化农业产业发展增添内生动力。</w:t>
      </w:r>
      <w:r>
        <w:rPr>
          <w:rFonts w:hint="eastAsia" w:ascii="仿宋_GB2312" w:hAnsi="仿宋_GB2312" w:eastAsia="仿宋_GB2312" w:cs="仿宋_GB2312"/>
          <w:color w:val="auto"/>
          <w:kern w:val="2"/>
          <w:sz w:val="32"/>
          <w:szCs w:val="32"/>
          <w:highlight w:val="none"/>
          <w:shd w:val="clear" w:color="auto" w:fill="auto"/>
          <w:lang w:val="en-US" w:eastAsia="zh-CN" w:bidi="ar-SA"/>
        </w:rPr>
        <w:t>积极争取农村综合改革、农业保险等上级财政资金10759万元，精准</w:t>
      </w:r>
      <w:r>
        <w:rPr>
          <w:rFonts w:hint="eastAsia" w:ascii="仿宋_GB2312" w:hAnsi="仿宋_GB2312" w:eastAsia="仿宋_GB2312" w:cs="仿宋_GB2312"/>
          <w:color w:val="auto"/>
          <w:sz w:val="32"/>
          <w:szCs w:val="32"/>
        </w:rPr>
        <w:t>实施农村综合改革项目76个，和美村庄试点项目3个</w:t>
      </w:r>
      <w:r>
        <w:rPr>
          <w:rFonts w:hint="eastAsia" w:ascii="仿宋_GB2312" w:hAnsi="仿宋_GB2312" w:eastAsia="仿宋_GB2312" w:cs="仿宋_GB2312"/>
          <w:color w:val="auto"/>
          <w:sz w:val="32"/>
          <w:szCs w:val="32"/>
          <w:lang w:eastAsia="zh-CN"/>
        </w:rPr>
        <w:t>，乡村振兴向更宽领域、更深层次、更高水平迈进</w:t>
      </w:r>
      <w:r>
        <w:rPr>
          <w:rFonts w:hint="eastAsia" w:ascii="仿宋_GB2312" w:hAnsi="仿宋_GB2312" w:eastAsia="仿宋_GB2312" w:cs="仿宋_GB2312"/>
          <w:b w:val="0"/>
          <w:bCs w:val="0"/>
          <w:color w:val="auto"/>
          <w:sz w:val="32"/>
          <w:szCs w:val="32"/>
          <w:highlight w:val="none"/>
          <w:shd w:val="clear" w:color="auto" w:fill="auto"/>
          <w:lang w:val="en-US" w:eastAsia="zh-CN"/>
        </w:rPr>
        <w:t>。</w:t>
      </w:r>
    </w:p>
    <w:p w14:paraId="5A2C57C0">
      <w:pPr>
        <w:keepNext w:val="0"/>
        <w:keepLines w:val="0"/>
        <w:pageBreakBefore w:val="0"/>
        <w:widowControl w:val="0"/>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严守生态底线，践行绿色发展理念。</w:t>
      </w:r>
      <w:r>
        <w:rPr>
          <w:rFonts w:hint="eastAsia" w:ascii="仿宋_GB2312" w:hAnsi="仿宋_GB2312" w:eastAsia="仿宋_GB2312" w:cs="仿宋_GB2312"/>
          <w:b w:val="0"/>
          <w:bCs w:val="0"/>
          <w:color w:val="auto"/>
          <w:sz w:val="32"/>
          <w:szCs w:val="32"/>
          <w:highlight w:val="none"/>
          <w:shd w:val="clear" w:color="auto" w:fill="auto"/>
          <w:lang w:val="en-US" w:eastAsia="zh-CN"/>
        </w:rPr>
        <w:t>统筹资金17466万元，推进66件中央环保督察转办问题整改，扎实开展矿山生态修复、污染协同治理、国土绿化等重点工作，助力攻坚清洁取暖等工程，持续改善生态环境质量。推动我县荣获自治区农作物秸秆综合利用重点县、国家黄河流域农业面源污染治理示范县和国家生态文明建设示范区。</w:t>
      </w:r>
    </w:p>
    <w:p w14:paraId="1EE75C51">
      <w:pPr>
        <w:keepNext w:val="0"/>
        <w:keepLines w:val="0"/>
        <w:pageBreakBefore w:val="0"/>
        <w:widowControl w:val="0"/>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完善基础设施，提升城乡融合质效。</w:t>
      </w:r>
      <w:r>
        <w:rPr>
          <w:rFonts w:hint="eastAsia" w:ascii="仿宋_GB2312" w:hAnsi="仿宋_GB2312" w:eastAsia="仿宋_GB2312" w:cs="仿宋_GB2312"/>
          <w:b w:val="0"/>
          <w:bCs w:val="0"/>
          <w:color w:val="auto"/>
          <w:sz w:val="32"/>
          <w:szCs w:val="32"/>
          <w:highlight w:val="none"/>
          <w:shd w:val="clear" w:color="auto" w:fill="auto"/>
          <w:lang w:val="en-US" w:eastAsia="zh-CN"/>
        </w:rPr>
        <w:t>统筹资金23590万元，实施雨污分流、燃气管网更新、老旧小区改造、城乡道路建设等基础设施项目，持续补齐城乡发展短板。统筹资金1453万元，精准助力购房消费、不动产契税优惠、“永宁网上年货节”等促消费活动，发放消费券12万张，撬动社会消费5.8亿元，带动商品房销售10万㎡，全面助力稳增长促发展攻坚年行动。</w:t>
      </w:r>
    </w:p>
    <w:p w14:paraId="50BB3ECB">
      <w:pPr>
        <w:keepNext w:val="0"/>
        <w:keepLines w:val="0"/>
        <w:pageBreakBefore w:val="0"/>
        <w:widowControl w:val="0"/>
        <w:numPr>
          <w:ilvl w:val="0"/>
          <w:numId w:val="0"/>
        </w:numPr>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扛牢防控责任，守牢安全发展底线。</w:t>
      </w:r>
      <w:r>
        <w:rPr>
          <w:rFonts w:hint="eastAsia" w:ascii="仿宋_GB2312" w:hAnsi="仿宋_GB2312" w:eastAsia="仿宋_GB2312" w:cs="仿宋_GB2312"/>
          <w:b w:val="0"/>
          <w:bCs w:val="0"/>
          <w:color w:val="auto"/>
          <w:sz w:val="32"/>
          <w:szCs w:val="32"/>
          <w:highlight w:val="none"/>
          <w:shd w:val="clear" w:color="auto" w:fill="auto"/>
          <w:lang w:val="en-US" w:eastAsia="zh-CN"/>
        </w:rPr>
        <w:t>统筹资金4205万元，重点支持农村危房改造、道路交通安全设施升级等民生安全工程，全力保障安全生产治本攻坚三年行动落地见效。坚持“控总量、化存量、遏增量”，坚决扛起政府债务管理主体责任，全年化解隐性债务179227万元，法定债务还本付息93832万元，妥善解决PPP项目历史遗留问题及信访积案。扎实推进清理拖欠中小企业账款工作，8月底完成50万元以下账款清零，10月底完成年度化解任务，年底完成全年任务的122%，受到自治区专班通报表扬。全年消化暂付款10000万元，财政运行、金融和债务风险总体可控，为县域经济社会高质量发展提供安全保障。</w:t>
      </w:r>
    </w:p>
    <w:p w14:paraId="2B723359">
      <w:pPr>
        <w:keepNext w:val="0"/>
        <w:keepLines w:val="0"/>
        <w:pageBreakBefore w:val="0"/>
        <w:widowControl w:val="0"/>
        <w:numPr>
          <w:ilvl w:val="0"/>
          <w:numId w:val="0"/>
        </w:numPr>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b/>
          <w:bCs w:val="0"/>
          <w:color w:val="auto"/>
          <w:sz w:val="32"/>
          <w:szCs w:val="32"/>
          <w:highlight w:val="none"/>
          <w:shd w:val="clear" w:color="auto" w:fill="auto"/>
          <w:lang w:val="en-US" w:eastAsia="zh-CN"/>
        </w:rPr>
        <w:t>4.</w:t>
      </w:r>
      <w:r>
        <w:rPr>
          <w:rFonts w:hint="eastAsia" w:ascii="仿宋_GB2312" w:hAnsi="仿宋_GB2312" w:eastAsia="仿宋_GB2312" w:cs="仿宋_GB2312"/>
          <w:b/>
          <w:bCs w:val="0"/>
          <w:color w:val="auto"/>
          <w:sz w:val="32"/>
          <w:szCs w:val="32"/>
          <w:highlight w:val="none"/>
          <w:shd w:val="clear" w:color="auto" w:fill="auto"/>
          <w:lang w:eastAsia="zh-CN"/>
        </w:rPr>
        <w:t>深化改革，全面</w:t>
      </w:r>
      <w:r>
        <w:rPr>
          <w:rFonts w:hint="eastAsia" w:ascii="仿宋_GB2312" w:hAnsi="仿宋_GB2312" w:eastAsia="仿宋_GB2312" w:cs="仿宋_GB2312"/>
          <w:b/>
          <w:bCs w:val="0"/>
          <w:color w:val="auto"/>
          <w:sz w:val="32"/>
          <w:szCs w:val="32"/>
          <w:highlight w:val="none"/>
          <w:shd w:val="clear" w:color="auto" w:fill="auto"/>
          <w:lang w:val="en-US" w:eastAsia="zh-CN"/>
        </w:rPr>
        <w:t>提升财政管理水平。</w:t>
      </w:r>
      <w:r>
        <w:rPr>
          <w:rFonts w:hint="eastAsia" w:ascii="仿宋_GB2312" w:hAnsi="仿宋_GB2312" w:eastAsia="仿宋_GB2312" w:cs="仿宋_GB2312"/>
          <w:color w:val="auto"/>
          <w:sz w:val="32"/>
          <w:szCs w:val="32"/>
          <w:highlight w:val="none"/>
          <w:shd w:val="clear" w:color="auto" w:fill="auto"/>
          <w:lang w:val="en-US" w:eastAsia="zh-CN"/>
        </w:rPr>
        <w:t>坚持以改革破解发展难题、以管理提升保障效能，持续深化财政领域改革，不断提升财政管理科学化、规范化、精细化水平。</w:t>
      </w:r>
    </w:p>
    <w:p w14:paraId="673FE2B2">
      <w:pPr>
        <w:keepNext w:val="0"/>
        <w:keepLines w:val="0"/>
        <w:pageBreakBefore w:val="0"/>
        <w:widowControl w:val="0"/>
        <w:numPr>
          <w:ilvl w:val="0"/>
          <w:numId w:val="0"/>
        </w:numPr>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val="0"/>
          <w:color w:val="auto"/>
          <w:sz w:val="32"/>
          <w:szCs w:val="32"/>
          <w:highlight w:val="none"/>
          <w:shd w:val="clear" w:color="auto" w:fill="auto"/>
          <w:lang w:val="en-US" w:eastAsia="zh-CN"/>
        </w:rPr>
        <w:t>深化预算管理改革，筑牢财政资金规范高效运行根基‌。</w:t>
      </w:r>
      <w:r>
        <w:rPr>
          <w:rFonts w:hint="eastAsia" w:ascii="仿宋_GB2312" w:hAnsi="仿宋_GB2312" w:eastAsia="仿宋_GB2312" w:cs="仿宋_GB2312"/>
          <w:b w:val="0"/>
          <w:bCs w:val="0"/>
          <w:color w:val="auto"/>
          <w:sz w:val="32"/>
          <w:szCs w:val="32"/>
          <w:highlight w:val="none"/>
          <w:shd w:val="clear" w:color="auto" w:fill="auto"/>
          <w:lang w:val="en-US" w:eastAsia="zh-CN"/>
        </w:rPr>
        <w:t>‌严格践行“过紧日子”要求，出台《永宁县零基预算改革实施方案（试行）》，推进零基预算改革。通过持续压缩“三公”经费、严控一般性支出，压减非刚性支出，部门项目预算压减率3.3%，有效增强“三保”支出及地方债务化解等重点领域保障能力。预算管理工作成效获自治区财政厅充分肯定，我县预算执行分析、财政总决算、部门决算、资产年报编报工作均获自治区财政厅通报表扬，社会保险基金预算绩效管理获自治区财政厅A级评价。</w:t>
      </w:r>
    </w:p>
    <w:p w14:paraId="7C7B4C5E">
      <w:pPr>
        <w:keepNext w:val="0"/>
        <w:keepLines w:val="0"/>
        <w:pageBreakBefore w:val="0"/>
        <w:widowControl w:val="0"/>
        <w:numPr>
          <w:ilvl w:val="0"/>
          <w:numId w:val="0"/>
        </w:numPr>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bCs w:val="0"/>
          <w:color w:val="auto"/>
          <w:sz w:val="32"/>
          <w:szCs w:val="32"/>
          <w:highlight w:val="none"/>
          <w:shd w:val="clear" w:color="auto" w:fill="auto"/>
          <w:lang w:val="en-US" w:eastAsia="zh-CN"/>
        </w:rPr>
        <w:t>创新“财纪审统”监督体系，凝聚财政资金安全监管合力。</w:t>
      </w:r>
      <w:r>
        <w:rPr>
          <w:rFonts w:hint="eastAsia" w:ascii="仿宋_GB2312" w:hAnsi="仿宋_GB2312" w:eastAsia="仿宋_GB2312" w:cs="仿宋_GB2312"/>
          <w:b w:val="0"/>
          <w:bCs/>
          <w:color w:val="auto"/>
          <w:sz w:val="32"/>
          <w:szCs w:val="32"/>
          <w:highlight w:val="none"/>
          <w:shd w:val="clear" w:color="auto" w:fill="auto"/>
          <w:lang w:val="en-US" w:eastAsia="zh-CN"/>
        </w:rPr>
        <w:t>创新构建“财纪审统”一体化联动监督体系，整合纪委、审计、统计等监督力量形成跨部门协同监管格局，聚焦预算单位资金管理、群众身边不正之风和腐败问题、政府采购乱象及“四类”违法违规行为等问题开展专项整治，检查64家单位、推动整改问题16个，退回资金102万元，处罚2万元，有效巩固财政安全防线。严格规范政府采购管理，节约资金2054万元、节约率12%。完成杨和镇纳家户村基础设施改造等55项94个标段政府投资项目结算审核，核减资金971万元、核减率2.4%，政府投资精细化管理水平不断提升。</w:t>
      </w:r>
    </w:p>
    <w:p w14:paraId="12606A8F">
      <w:pPr>
        <w:keepNext w:val="0"/>
        <w:keepLines w:val="0"/>
        <w:pageBreakBefore w:val="0"/>
        <w:widowControl w:val="0"/>
        <w:numPr>
          <w:ilvl w:val="0"/>
          <w:numId w:val="0"/>
        </w:numPr>
        <w:kinsoku/>
        <w:wordWrap/>
        <w:overflowPunct/>
        <w:topLinePunct w:val="0"/>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color w:val="auto"/>
          <w:sz w:val="32"/>
          <w:szCs w:val="32"/>
          <w:highlight w:val="none"/>
          <w:shd w:val="clear" w:color="auto" w:fill="auto"/>
          <w:lang w:val="en-US" w:eastAsia="zh-CN"/>
        </w:rPr>
      </w:pPr>
      <w:r>
        <w:rPr>
          <w:rFonts w:hint="eastAsia" w:ascii="仿宋_GB2312" w:hAnsi="仿宋_GB2312" w:eastAsia="仿宋_GB2312" w:cs="仿宋_GB2312"/>
          <w:b/>
          <w:bCs w:val="0"/>
          <w:color w:val="auto"/>
          <w:sz w:val="32"/>
          <w:szCs w:val="32"/>
          <w:highlight w:val="none"/>
          <w:shd w:val="clear" w:color="auto" w:fill="auto"/>
          <w:lang w:val="en-US" w:eastAsia="zh-CN"/>
        </w:rPr>
        <w:t>深化国企改革攻坚，激发市场运营活力动能。</w:t>
      </w:r>
      <w:r>
        <w:rPr>
          <w:rFonts w:hint="eastAsia" w:ascii="仿宋_GB2312" w:hAnsi="仿宋_GB2312" w:eastAsia="仿宋_GB2312" w:cs="仿宋_GB2312"/>
          <w:b w:val="0"/>
          <w:bCs/>
          <w:color w:val="auto"/>
          <w:sz w:val="32"/>
          <w:szCs w:val="32"/>
          <w:highlight w:val="none"/>
          <w:shd w:val="clear" w:color="auto" w:fill="auto"/>
          <w:lang w:val="en-US" w:eastAsia="zh-CN"/>
        </w:rPr>
        <w:t>聚焦国企改革深化提升行动目标，圆满完成34项重点改革任务。成立永宁县城控文化旅游有限公司，打造“万人酒庄沙漠行”等特色IP，全年接待游客2.3万人次，带动旅游消费20万元。城控物业荣膺“五星级物业服务企业”称号。通过改革赋能，县属国企实现扭亏为盈，国有经济活力与影响力持续增强，为县域高质量发展注入强劲动能。</w:t>
      </w:r>
    </w:p>
    <w:p w14:paraId="18ED780A">
      <w:pPr>
        <w:keepNext w:val="0"/>
        <w:keepLines w:val="0"/>
        <w:pageBreakBefore w:val="0"/>
        <w:widowControl w:val="0"/>
        <w:kinsoku/>
        <w:wordWrap/>
        <w:overflowPunct/>
        <w:topLinePunct w:val="0"/>
        <w:autoSpaceDN/>
        <w:bidi w:val="0"/>
        <w:adjustRightInd/>
        <w:snapToGrid/>
        <w:spacing w:line="540" w:lineRule="exact"/>
        <w:ind w:left="0" w:firstLine="664" w:firstLineChars="200"/>
        <w:jc w:val="both"/>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Cs/>
          <w:color w:val="auto"/>
          <w:spacing w:val="6"/>
          <w:sz w:val="32"/>
          <w:szCs w:val="32"/>
          <w:highlight w:val="none"/>
          <w:shd w:val="clear" w:color="auto" w:fill="auto"/>
          <w:lang w:val="en-US" w:eastAsia="zh-CN"/>
        </w:rPr>
        <w:t>一年来，在县委的坚强领导下，在县人大的监督支持下，全县财政工作稳中有进，圆满完成了</w:t>
      </w:r>
      <w:r>
        <w:rPr>
          <w:rFonts w:hint="eastAsia" w:ascii="仿宋_GB2312" w:hAnsi="仿宋_GB2312" w:eastAsia="仿宋_GB2312" w:cs="仿宋_GB2312"/>
          <w:color w:val="auto"/>
          <w:kern w:val="2"/>
          <w:sz w:val="32"/>
          <w:szCs w:val="32"/>
          <w:highlight w:val="none"/>
          <w:shd w:val="clear" w:color="auto" w:fill="auto"/>
          <w:lang w:val="en-US" w:eastAsia="zh-CN" w:bidi="ar-SA"/>
        </w:rPr>
        <w:t>各项目标任务。</w:t>
      </w:r>
    </w:p>
    <w:p w14:paraId="23B96492">
      <w:pPr>
        <w:keepNext w:val="0"/>
        <w:keepLines w:val="0"/>
        <w:pageBreakBefore w:val="0"/>
        <w:widowControl w:val="0"/>
        <w:kinsoku/>
        <w:wordWrap/>
        <w:overflowPunct/>
        <w:topLinePunct w:val="0"/>
        <w:autoSpaceDN/>
        <w:bidi w:val="0"/>
        <w:adjustRightInd/>
        <w:snapToGrid/>
        <w:spacing w:line="540" w:lineRule="exact"/>
        <w:ind w:firstLine="640" w:firstLineChars="200"/>
        <w:jc w:val="both"/>
        <w:textAlignment w:val="auto"/>
        <w:rPr>
          <w:rFonts w:hint="eastAsia" w:ascii="仿宋_GB2312" w:hAnsi="仿宋_GB2312" w:eastAsia="仿宋_GB2312" w:cs="仿宋_GB2312"/>
          <w:bCs/>
          <w:color w:val="auto"/>
          <w:spacing w:val="6"/>
          <w:sz w:val="32"/>
          <w:szCs w:val="32"/>
          <w:highlight w:val="none"/>
          <w:shd w:val="clear" w:color="auto" w:fill="auto"/>
        </w:rPr>
      </w:pPr>
      <w:r>
        <w:rPr>
          <w:rFonts w:hint="eastAsia" w:ascii="仿宋_GB2312" w:hAnsi="仿宋_GB2312" w:eastAsia="仿宋_GB2312" w:cs="仿宋_GB2312"/>
          <w:color w:val="auto"/>
          <w:kern w:val="2"/>
          <w:sz w:val="32"/>
          <w:szCs w:val="32"/>
          <w:highlight w:val="none"/>
          <w:shd w:val="clear" w:color="auto" w:fill="auto"/>
          <w:lang w:val="en-US" w:eastAsia="zh-CN" w:bidi="ar-SA"/>
        </w:rPr>
        <w:t>同时，我们</w:t>
      </w:r>
      <w:r>
        <w:rPr>
          <w:rFonts w:hint="eastAsia" w:ascii="仿宋_GB2312" w:hAnsi="仿宋_GB2312" w:eastAsia="仿宋_GB2312" w:cs="仿宋_GB2312"/>
          <w:bCs/>
          <w:color w:val="auto"/>
          <w:spacing w:val="6"/>
          <w:sz w:val="32"/>
          <w:szCs w:val="32"/>
          <w:highlight w:val="none"/>
          <w:shd w:val="clear" w:color="auto" w:fill="auto"/>
          <w:lang w:val="en-US" w:eastAsia="zh-CN"/>
        </w:rPr>
        <w:t>也清醒认识到，当前财政运行仍面临多重挑战，一些困难和问题不容忽视：</w:t>
      </w:r>
      <w:r>
        <w:rPr>
          <w:rFonts w:hint="eastAsia" w:ascii="仿宋_GB2312" w:hAnsi="仿宋_GB2312" w:eastAsia="仿宋_GB2312" w:cs="仿宋_GB2312"/>
          <w:b/>
          <w:bCs w:val="0"/>
          <w:color w:val="auto"/>
          <w:spacing w:val="6"/>
          <w:sz w:val="32"/>
          <w:szCs w:val="32"/>
          <w:highlight w:val="none"/>
          <w:shd w:val="clear" w:color="auto" w:fill="auto"/>
          <w:lang w:val="en-US" w:eastAsia="zh-CN"/>
        </w:rPr>
        <w:t>财政收入增速放缓，</w:t>
      </w:r>
      <w:r>
        <w:rPr>
          <w:rFonts w:hint="eastAsia" w:ascii="仿宋_GB2312" w:hAnsi="仿宋_GB2312" w:eastAsia="仿宋_GB2312" w:cs="仿宋_GB2312"/>
          <w:bCs/>
          <w:color w:val="auto"/>
          <w:spacing w:val="6"/>
          <w:sz w:val="32"/>
          <w:szCs w:val="32"/>
          <w:highlight w:val="none"/>
          <w:shd w:val="clear" w:color="auto" w:fill="auto"/>
          <w:lang w:val="en-US" w:eastAsia="zh-CN"/>
        </w:rPr>
        <w:t>税收收入后劲不足，组织非税收入难度逐年加大，土地出让低迷。</w:t>
      </w:r>
      <w:r>
        <w:rPr>
          <w:rFonts w:hint="eastAsia" w:ascii="仿宋_GB2312" w:hAnsi="仿宋_GB2312" w:eastAsia="仿宋_GB2312" w:cs="仿宋_GB2312"/>
          <w:b/>
          <w:bCs w:val="0"/>
          <w:color w:val="auto"/>
          <w:spacing w:val="6"/>
          <w:sz w:val="32"/>
          <w:szCs w:val="32"/>
          <w:highlight w:val="none"/>
          <w:shd w:val="clear" w:color="auto" w:fill="auto"/>
          <w:lang w:val="en-US" w:eastAsia="zh-CN"/>
        </w:rPr>
        <w:t>财政支出需求增加，</w:t>
      </w:r>
      <w:r>
        <w:rPr>
          <w:rFonts w:hint="eastAsia" w:ascii="仿宋_GB2312" w:hAnsi="仿宋_GB2312" w:eastAsia="仿宋_GB2312" w:cs="仿宋_GB2312"/>
          <w:color w:val="auto"/>
          <w:kern w:val="0"/>
          <w:sz w:val="32"/>
          <w:szCs w:val="32"/>
          <w:highlight w:val="none"/>
          <w:shd w:val="clear" w:color="auto" w:fill="auto"/>
          <w:lang w:val="en-US" w:eastAsia="zh-CN"/>
        </w:rPr>
        <w:t>“三保”及刚性支出需求逐年递增，补齐民生短板需大量资金保障，财政紧平衡状态将长期存在。</w:t>
      </w:r>
      <w:r>
        <w:rPr>
          <w:rFonts w:hint="eastAsia" w:ascii="仿宋_GB2312" w:hAnsi="仿宋_GB2312" w:eastAsia="仿宋_GB2312" w:cs="仿宋_GB2312"/>
          <w:b/>
          <w:bCs/>
          <w:color w:val="auto"/>
          <w:kern w:val="0"/>
          <w:sz w:val="32"/>
          <w:szCs w:val="32"/>
          <w:highlight w:val="none"/>
          <w:shd w:val="clear" w:color="auto" w:fill="auto"/>
          <w:lang w:val="en-US" w:eastAsia="zh-CN"/>
        </w:rPr>
        <w:t>债务管理压力较大，</w:t>
      </w:r>
      <w:r>
        <w:rPr>
          <w:rFonts w:hint="eastAsia" w:ascii="仿宋_GB2312" w:hAnsi="仿宋_GB2312" w:eastAsia="仿宋_GB2312" w:cs="仿宋_GB2312"/>
          <w:color w:val="auto"/>
          <w:kern w:val="0"/>
          <w:sz w:val="32"/>
          <w:szCs w:val="32"/>
          <w:highlight w:val="none"/>
          <w:shd w:val="clear" w:color="auto" w:fill="auto"/>
          <w:lang w:val="en-US" w:eastAsia="zh-CN"/>
        </w:rPr>
        <w:t>受</w:t>
      </w:r>
      <w:r>
        <w:rPr>
          <w:rFonts w:hint="eastAsia" w:ascii="仿宋_GB2312" w:hAnsi="仿宋_GB2312" w:eastAsia="仿宋_GB2312" w:cs="仿宋_GB2312"/>
          <w:color w:val="auto"/>
          <w:spacing w:val="6"/>
          <w:sz w:val="32"/>
          <w:szCs w:val="32"/>
          <w:highlight w:val="none"/>
          <w:shd w:val="clear" w:color="auto" w:fill="auto"/>
        </w:rPr>
        <w:t>债务规模</w:t>
      </w:r>
      <w:r>
        <w:rPr>
          <w:rFonts w:hint="eastAsia" w:ascii="仿宋_GB2312" w:hAnsi="仿宋_GB2312" w:eastAsia="仿宋_GB2312" w:cs="仿宋_GB2312"/>
          <w:color w:val="auto"/>
          <w:spacing w:val="6"/>
          <w:sz w:val="32"/>
          <w:szCs w:val="32"/>
          <w:highlight w:val="none"/>
          <w:shd w:val="clear" w:color="auto" w:fill="auto"/>
          <w:lang w:eastAsia="zh-CN"/>
        </w:rPr>
        <w:t>大、政府性基金收入短收等因素影响，政府债务化解</w:t>
      </w:r>
      <w:r>
        <w:rPr>
          <w:rFonts w:hint="eastAsia" w:ascii="仿宋_GB2312" w:hAnsi="仿宋_GB2312" w:eastAsia="仿宋_GB2312" w:cs="仿宋_GB2312"/>
          <w:b w:val="0"/>
          <w:bCs/>
          <w:color w:val="auto"/>
          <w:sz w:val="32"/>
          <w:szCs w:val="32"/>
          <w:highlight w:val="none"/>
          <w:shd w:val="clear" w:color="auto" w:fill="auto"/>
          <w:lang w:val="en-US" w:eastAsia="zh-CN"/>
        </w:rPr>
        <w:t>压力依然较大。针</w:t>
      </w:r>
      <w:r>
        <w:rPr>
          <w:rFonts w:hint="eastAsia" w:ascii="仿宋_GB2312" w:hAnsi="仿宋_GB2312" w:eastAsia="仿宋_GB2312" w:cs="仿宋_GB2312"/>
          <w:color w:val="auto"/>
          <w:spacing w:val="6"/>
          <w:sz w:val="32"/>
          <w:szCs w:val="32"/>
          <w:highlight w:val="none"/>
          <w:shd w:val="clear" w:color="auto" w:fill="auto"/>
        </w:rPr>
        <w:t>对这些问题，我们将高度重视、直面挑战，在今后工作中采取更具针对性的措施，切实加以解决。</w:t>
      </w:r>
    </w:p>
    <w:p w14:paraId="29C563C6">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黑体" w:hAnsi="黑体" w:eastAsia="黑体" w:cs="黑体"/>
          <w:b w:val="0"/>
          <w:bCs/>
          <w:color w:val="auto"/>
          <w:sz w:val="32"/>
          <w:szCs w:val="32"/>
          <w:highlight w:val="none"/>
          <w:shd w:val="clear" w:color="auto" w:fill="auto"/>
          <w:lang w:val="en-US" w:eastAsia="zh-CN"/>
        </w:rPr>
      </w:pPr>
      <w:r>
        <w:rPr>
          <w:rFonts w:hint="eastAsia" w:ascii="黑体" w:hAnsi="黑体" w:eastAsia="黑体" w:cs="黑体"/>
          <w:b w:val="0"/>
          <w:bCs/>
          <w:color w:val="auto"/>
          <w:sz w:val="32"/>
          <w:szCs w:val="32"/>
          <w:highlight w:val="none"/>
          <w:shd w:val="clear" w:color="auto" w:fill="auto"/>
          <w:lang w:eastAsia="zh-CN"/>
        </w:rPr>
        <w:t>二、</w:t>
      </w:r>
      <w:r>
        <w:rPr>
          <w:rFonts w:hint="eastAsia" w:ascii="黑体" w:hAnsi="黑体" w:eastAsia="黑体" w:cs="黑体"/>
          <w:b w:val="0"/>
          <w:bCs/>
          <w:color w:val="auto"/>
          <w:sz w:val="32"/>
          <w:szCs w:val="32"/>
          <w:highlight w:val="none"/>
          <w:shd w:val="clear" w:color="auto" w:fill="auto"/>
          <w:lang w:val="en-US" w:eastAsia="zh-CN"/>
        </w:rPr>
        <w:t>202</w:t>
      </w:r>
      <w:r>
        <w:rPr>
          <w:rFonts w:hint="eastAsia" w:ascii="黑体" w:hAnsi="黑体" w:eastAsia="黑体" w:cs="黑体"/>
          <w:b w:val="0"/>
          <w:bCs/>
          <w:color w:val="auto"/>
          <w:sz w:val="32"/>
          <w:szCs w:val="32"/>
          <w:highlight w:val="none"/>
          <w:shd w:val="clear" w:color="auto" w:fill="auto"/>
          <w:lang w:val="en" w:eastAsia="zh-CN"/>
        </w:rPr>
        <w:t>6</w:t>
      </w:r>
      <w:r>
        <w:rPr>
          <w:rFonts w:hint="eastAsia" w:ascii="黑体" w:hAnsi="黑体" w:eastAsia="黑体" w:cs="黑体"/>
          <w:b w:val="0"/>
          <w:bCs/>
          <w:color w:val="auto"/>
          <w:sz w:val="32"/>
          <w:szCs w:val="32"/>
          <w:highlight w:val="none"/>
          <w:shd w:val="clear" w:color="auto" w:fill="auto"/>
          <w:lang w:val="en-US" w:eastAsia="zh-CN"/>
        </w:rPr>
        <w:t>年财政预算草案及重点工作</w:t>
      </w:r>
    </w:p>
    <w:p w14:paraId="71C39628">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2026年是“十五五”规划开局起步、奠定基础的重要一年，做好今年财政工作事关全局、意义深远。根据“十五五”规划部署，未来五年我县一般公共预算收入、支出年均增速预期目标均为3%，期末累计达到61亿元和228亿元。政府债务率力争降至300%以下，实现债务风险等级“降级转色”，任务艰巨且使命光荣。</w:t>
      </w:r>
    </w:p>
    <w:p w14:paraId="3B14F154">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们将始终以习近平新时代中国特色社会主义思想为根本遵循，全面贯彻上级党委各项决策部署，紧扣“十五五”规划战略要求，坚持积极的财政政策适度加力、提质增效，在稳增长、调结构、惠民生、防风险中精准发力，以务实举措推动财政工作提质增效，为全县经济社会高质量发展提供财政保障。</w:t>
      </w:r>
    </w:p>
    <w:p w14:paraId="7041A419">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楷体_GB2312" w:hAnsi="楷体_GB2312" w:eastAsia="楷体_GB2312" w:cs="楷体_GB2312"/>
          <w:b/>
          <w:color w:val="auto"/>
          <w:sz w:val="32"/>
          <w:szCs w:val="32"/>
          <w:highlight w:val="none"/>
          <w:shd w:val="clear" w:color="auto" w:fill="auto"/>
          <w:lang w:val="en-US" w:eastAsia="zh-CN"/>
        </w:rPr>
      </w:pPr>
      <w:r>
        <w:rPr>
          <w:rFonts w:hint="eastAsia" w:ascii="楷体_GB2312" w:hAnsi="楷体_GB2312" w:eastAsia="楷体_GB2312" w:cs="楷体_GB2312"/>
          <w:b/>
          <w:color w:val="auto"/>
          <w:sz w:val="32"/>
          <w:szCs w:val="32"/>
          <w:highlight w:val="none"/>
          <w:shd w:val="clear" w:color="auto" w:fill="auto"/>
        </w:rPr>
        <w:t>（一）</w:t>
      </w:r>
      <w:r>
        <w:rPr>
          <w:rFonts w:hint="eastAsia" w:ascii="楷体_GB2312" w:hAnsi="楷体_GB2312" w:eastAsia="楷体_GB2312" w:cs="楷体_GB2312"/>
          <w:b/>
          <w:color w:val="auto"/>
          <w:sz w:val="32"/>
          <w:szCs w:val="32"/>
          <w:highlight w:val="none"/>
          <w:shd w:val="clear" w:color="auto" w:fill="auto"/>
          <w:lang w:val="en-US" w:eastAsia="zh-CN"/>
        </w:rPr>
        <w:t>2026年财政预算草案</w:t>
      </w:r>
    </w:p>
    <w:p w14:paraId="04F08192">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b/>
          <w:color w:val="auto"/>
          <w:sz w:val="32"/>
          <w:szCs w:val="32"/>
          <w:highlight w:val="none"/>
          <w:shd w:val="clear" w:color="auto" w:fill="auto"/>
          <w:lang w:eastAsia="zh-CN"/>
        </w:rPr>
      </w:pPr>
      <w:r>
        <w:rPr>
          <w:rFonts w:hint="eastAsia" w:ascii="仿宋_GB2312" w:hAnsi="仿宋_GB2312" w:eastAsia="仿宋_GB2312" w:cs="仿宋_GB2312"/>
          <w:b/>
          <w:color w:val="auto"/>
          <w:sz w:val="32"/>
          <w:szCs w:val="32"/>
          <w:highlight w:val="none"/>
          <w:shd w:val="clear" w:color="auto" w:fill="auto"/>
          <w:lang w:val="en-US" w:eastAsia="zh-CN"/>
        </w:rPr>
        <w:t>1.一</w:t>
      </w:r>
      <w:r>
        <w:rPr>
          <w:rFonts w:hint="eastAsia" w:ascii="仿宋_GB2312" w:hAnsi="仿宋_GB2312" w:eastAsia="仿宋_GB2312" w:cs="仿宋_GB2312"/>
          <w:b/>
          <w:color w:val="auto"/>
          <w:sz w:val="32"/>
          <w:szCs w:val="32"/>
          <w:highlight w:val="none"/>
          <w:shd w:val="clear" w:color="auto" w:fill="auto"/>
        </w:rPr>
        <w:t>般公共预算</w:t>
      </w:r>
      <w:r>
        <w:rPr>
          <w:rFonts w:hint="eastAsia" w:ascii="仿宋_GB2312" w:hAnsi="仿宋_GB2312" w:eastAsia="仿宋_GB2312" w:cs="仿宋_GB2312"/>
          <w:b/>
          <w:color w:val="auto"/>
          <w:sz w:val="32"/>
          <w:szCs w:val="32"/>
          <w:highlight w:val="none"/>
          <w:shd w:val="clear" w:color="auto" w:fill="auto"/>
          <w:lang w:eastAsia="zh-CN"/>
        </w:rPr>
        <w:t>安排草案</w:t>
      </w:r>
    </w:p>
    <w:p w14:paraId="06B6E4FA">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spacing w:val="6"/>
          <w:sz w:val="32"/>
          <w:szCs w:val="32"/>
          <w:highlight w:val="none"/>
          <w:shd w:val="clear" w:color="auto" w:fill="auto"/>
          <w:lang w:val="en-US" w:eastAsia="zh-CN"/>
        </w:rPr>
      </w:pPr>
      <w:r>
        <w:rPr>
          <w:rFonts w:hint="eastAsia" w:ascii="仿宋_GB2312" w:hAnsi="仿宋_GB2312" w:eastAsia="仿宋_GB2312" w:cs="仿宋_GB2312"/>
          <w:b/>
          <w:color w:val="auto"/>
          <w:sz w:val="32"/>
          <w:szCs w:val="32"/>
          <w:highlight w:val="none"/>
          <w:shd w:val="clear" w:color="auto" w:fill="auto"/>
          <w:lang w:val="en-US" w:eastAsia="zh-CN"/>
        </w:rPr>
        <w:t>（1）全县</w:t>
      </w:r>
      <w:r>
        <w:rPr>
          <w:rFonts w:hint="eastAsia" w:ascii="仿宋_GB2312" w:hAnsi="仿宋_GB2312" w:eastAsia="仿宋_GB2312" w:cs="仿宋_GB2312"/>
          <w:b/>
          <w:color w:val="auto"/>
          <w:sz w:val="32"/>
          <w:szCs w:val="32"/>
          <w:highlight w:val="none"/>
          <w:shd w:val="clear" w:color="auto" w:fill="auto"/>
        </w:rPr>
        <w:t>一般公共预算</w:t>
      </w:r>
      <w:r>
        <w:rPr>
          <w:rFonts w:hint="eastAsia" w:ascii="仿宋_GB2312" w:hAnsi="仿宋_GB2312" w:eastAsia="仿宋_GB2312" w:cs="仿宋_GB2312"/>
          <w:b/>
          <w:color w:val="auto"/>
          <w:sz w:val="32"/>
          <w:szCs w:val="32"/>
          <w:highlight w:val="none"/>
          <w:shd w:val="clear" w:color="auto" w:fill="auto"/>
          <w:lang w:eastAsia="zh-CN"/>
        </w:rPr>
        <w:t>总</w:t>
      </w:r>
      <w:r>
        <w:rPr>
          <w:rFonts w:hint="eastAsia" w:ascii="仿宋_GB2312" w:hAnsi="仿宋_GB2312" w:eastAsia="仿宋_GB2312" w:cs="仿宋_GB2312"/>
          <w:b/>
          <w:color w:val="auto"/>
          <w:sz w:val="32"/>
          <w:szCs w:val="32"/>
          <w:highlight w:val="none"/>
          <w:shd w:val="clear" w:color="auto" w:fill="auto"/>
        </w:rPr>
        <w:t>收入</w:t>
      </w:r>
      <w:r>
        <w:rPr>
          <w:rFonts w:hint="eastAsia" w:ascii="仿宋_GB2312" w:hAnsi="仿宋_GB2312" w:eastAsia="仿宋_GB2312" w:cs="仿宋_GB2312"/>
          <w:b/>
          <w:color w:val="auto"/>
          <w:sz w:val="32"/>
          <w:szCs w:val="32"/>
          <w:highlight w:val="none"/>
          <w:shd w:val="clear" w:color="auto" w:fill="auto"/>
          <w:lang w:val="en-US" w:eastAsia="zh-CN"/>
        </w:rPr>
        <w:t>334375</w:t>
      </w:r>
      <w:r>
        <w:rPr>
          <w:rFonts w:hint="eastAsia" w:ascii="仿宋_GB2312" w:hAnsi="仿宋_GB2312" w:eastAsia="仿宋_GB2312" w:cs="仿宋_GB2312"/>
          <w:b/>
          <w:color w:val="auto"/>
          <w:sz w:val="32"/>
          <w:szCs w:val="32"/>
          <w:highlight w:val="none"/>
          <w:shd w:val="clear" w:color="auto" w:fill="auto"/>
        </w:rPr>
        <w:t>万元</w:t>
      </w:r>
      <w:r>
        <w:rPr>
          <w:rFonts w:hint="eastAsia" w:ascii="仿宋_GB2312" w:hAnsi="仿宋_GB2312" w:eastAsia="仿宋_GB2312" w:cs="仿宋_GB2312"/>
          <w:b/>
          <w:color w:val="auto"/>
          <w:sz w:val="32"/>
          <w:szCs w:val="32"/>
          <w:highlight w:val="none"/>
          <w:shd w:val="clear" w:color="auto" w:fill="auto"/>
          <w:lang w:eastAsia="zh-CN"/>
        </w:rPr>
        <w:t>（仅包含自治区提前下达的转移支付资金），</w:t>
      </w:r>
      <w:r>
        <w:rPr>
          <w:rFonts w:hint="eastAsia" w:ascii="仿宋_GB2312" w:hAnsi="仿宋_GB2312" w:eastAsia="仿宋_GB2312" w:cs="仿宋_GB2312"/>
          <w:color w:val="auto"/>
          <w:sz w:val="32"/>
          <w:szCs w:val="32"/>
          <w:highlight w:val="none"/>
          <w:shd w:val="clear" w:color="auto" w:fill="auto"/>
        </w:rPr>
        <w:t>其中：</w:t>
      </w:r>
      <w:r>
        <w:rPr>
          <w:rFonts w:hint="eastAsia" w:ascii="仿宋_GB2312" w:hAnsi="仿宋_GB2312" w:eastAsia="仿宋_GB2312" w:cs="仿宋_GB2312"/>
          <w:color w:val="auto"/>
          <w:sz w:val="32"/>
          <w:szCs w:val="32"/>
          <w:highlight w:val="none"/>
          <w:shd w:val="clear" w:color="auto" w:fill="auto"/>
          <w:lang w:val="en-US" w:eastAsia="zh-CN"/>
        </w:rPr>
        <w:t>上年结转42159万元，</w:t>
      </w:r>
      <w:r>
        <w:rPr>
          <w:rFonts w:hint="eastAsia" w:ascii="仿宋_GB2312" w:hAnsi="仿宋_GB2312" w:eastAsia="仿宋_GB2312" w:cs="仿宋_GB2312"/>
          <w:color w:val="auto"/>
          <w:sz w:val="32"/>
          <w:szCs w:val="32"/>
          <w:highlight w:val="none"/>
          <w:shd w:val="clear" w:color="auto" w:fill="auto"/>
        </w:rPr>
        <w:t>县本级一般公共预算收入</w:t>
      </w:r>
      <w:r>
        <w:rPr>
          <w:rFonts w:hint="eastAsia" w:ascii="仿宋_GB2312" w:hAnsi="仿宋_GB2312" w:eastAsia="仿宋_GB2312" w:cs="仿宋_GB2312"/>
          <w:color w:val="auto"/>
          <w:sz w:val="32"/>
          <w:szCs w:val="32"/>
          <w:highlight w:val="none"/>
          <w:shd w:val="clear" w:color="auto" w:fill="auto"/>
          <w:lang w:val="en-US" w:eastAsia="zh-CN"/>
        </w:rPr>
        <w:t>115000</w:t>
      </w:r>
      <w:r>
        <w:rPr>
          <w:rFonts w:hint="eastAsia" w:ascii="仿宋_GB2312" w:hAnsi="仿宋_GB2312" w:eastAsia="仿宋_GB2312" w:cs="仿宋_GB2312"/>
          <w:color w:val="auto"/>
          <w:sz w:val="32"/>
          <w:szCs w:val="32"/>
          <w:highlight w:val="none"/>
          <w:shd w:val="clear" w:color="auto" w:fill="auto"/>
        </w:rPr>
        <w:t>万元，增长</w:t>
      </w: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以上</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pacing w:val="6"/>
          <w:sz w:val="32"/>
          <w:szCs w:val="32"/>
          <w:highlight w:val="none"/>
          <w:shd w:val="clear" w:color="auto" w:fill="auto"/>
          <w:lang w:val="en-US" w:eastAsia="zh-CN"/>
        </w:rPr>
        <w:t>提前下达固定补助一般转移支付收入124946万元，提前下达共同事权及专项转移支付收入52270万元。</w:t>
      </w:r>
    </w:p>
    <w:p w14:paraId="52B2E2DD">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b/>
          <w:color w:val="auto"/>
          <w:sz w:val="32"/>
          <w:szCs w:val="32"/>
          <w:highlight w:val="none"/>
          <w:shd w:val="clear" w:color="auto" w:fill="auto"/>
          <w:lang w:val="en-US" w:eastAsia="zh-CN"/>
        </w:rPr>
        <w:t>（2）全县</w:t>
      </w:r>
      <w:r>
        <w:rPr>
          <w:rFonts w:hint="eastAsia" w:ascii="仿宋_GB2312" w:hAnsi="仿宋_GB2312" w:eastAsia="仿宋_GB2312" w:cs="仿宋_GB2312"/>
          <w:b/>
          <w:color w:val="auto"/>
          <w:sz w:val="32"/>
          <w:szCs w:val="32"/>
          <w:highlight w:val="none"/>
          <w:shd w:val="clear" w:color="auto" w:fill="auto"/>
        </w:rPr>
        <w:t>一般公共预算</w:t>
      </w:r>
      <w:r>
        <w:rPr>
          <w:rFonts w:hint="eastAsia" w:ascii="仿宋_GB2312" w:hAnsi="仿宋_GB2312" w:eastAsia="仿宋_GB2312" w:cs="仿宋_GB2312"/>
          <w:b/>
          <w:color w:val="auto"/>
          <w:sz w:val="32"/>
          <w:szCs w:val="32"/>
          <w:highlight w:val="none"/>
          <w:shd w:val="clear" w:color="auto" w:fill="auto"/>
          <w:lang w:eastAsia="zh-CN"/>
        </w:rPr>
        <w:t>总</w:t>
      </w:r>
      <w:r>
        <w:rPr>
          <w:rFonts w:hint="eastAsia" w:ascii="仿宋_GB2312" w:hAnsi="仿宋_GB2312" w:eastAsia="仿宋_GB2312" w:cs="仿宋_GB2312"/>
          <w:b/>
          <w:color w:val="auto"/>
          <w:sz w:val="32"/>
          <w:szCs w:val="32"/>
          <w:highlight w:val="none"/>
          <w:shd w:val="clear" w:color="auto" w:fill="auto"/>
        </w:rPr>
        <w:t>支出</w:t>
      </w:r>
      <w:r>
        <w:rPr>
          <w:rFonts w:hint="eastAsia" w:ascii="仿宋_GB2312" w:hAnsi="仿宋_GB2312" w:eastAsia="仿宋_GB2312" w:cs="仿宋_GB2312"/>
          <w:b/>
          <w:color w:val="auto"/>
          <w:sz w:val="32"/>
          <w:szCs w:val="32"/>
          <w:highlight w:val="none"/>
          <w:shd w:val="clear" w:color="auto" w:fill="auto"/>
          <w:lang w:val="en-US" w:eastAsia="zh-CN"/>
        </w:rPr>
        <w:t>334375</w:t>
      </w:r>
      <w:r>
        <w:rPr>
          <w:rFonts w:hint="eastAsia" w:ascii="仿宋_GB2312" w:hAnsi="仿宋_GB2312" w:eastAsia="仿宋_GB2312" w:cs="仿宋_GB2312"/>
          <w:b/>
          <w:color w:val="auto"/>
          <w:sz w:val="32"/>
          <w:szCs w:val="32"/>
          <w:highlight w:val="none"/>
          <w:shd w:val="clear" w:color="auto" w:fill="auto"/>
        </w:rPr>
        <w:t>万元</w:t>
      </w:r>
      <w:r>
        <w:rPr>
          <w:rFonts w:hint="eastAsia" w:ascii="仿宋_GB2312" w:hAnsi="仿宋_GB2312" w:eastAsia="仿宋_GB2312" w:cs="仿宋_GB2312"/>
          <w:b/>
          <w:color w:val="auto"/>
          <w:sz w:val="32"/>
          <w:szCs w:val="32"/>
          <w:highlight w:val="none"/>
          <w:shd w:val="clear" w:color="auto" w:fill="auto"/>
          <w:lang w:eastAsia="zh-CN"/>
        </w:rPr>
        <w:t>（仅包含自治区提前下达的转移支付资金），</w:t>
      </w:r>
      <w:r>
        <w:rPr>
          <w:rFonts w:hint="eastAsia" w:ascii="仿宋_GB2312" w:hAnsi="仿宋_GB2312" w:eastAsia="仿宋_GB2312" w:cs="仿宋_GB2312"/>
          <w:color w:val="auto"/>
          <w:sz w:val="32"/>
          <w:szCs w:val="32"/>
          <w:highlight w:val="none"/>
          <w:shd w:val="clear" w:color="auto" w:fill="auto"/>
          <w:lang w:eastAsia="zh-CN"/>
        </w:rPr>
        <w:t>其中：上年结转支出</w:t>
      </w:r>
      <w:r>
        <w:rPr>
          <w:rFonts w:hint="eastAsia" w:ascii="仿宋_GB2312" w:hAnsi="仿宋_GB2312" w:eastAsia="仿宋_GB2312" w:cs="仿宋_GB2312"/>
          <w:color w:val="auto"/>
          <w:sz w:val="32"/>
          <w:szCs w:val="32"/>
          <w:highlight w:val="none"/>
          <w:shd w:val="clear" w:color="auto" w:fill="auto"/>
          <w:lang w:val="en-US" w:eastAsia="zh-CN"/>
        </w:rPr>
        <w:t>42159万元，</w:t>
      </w:r>
      <w:r>
        <w:rPr>
          <w:rFonts w:hint="eastAsia" w:ascii="仿宋_GB2312" w:hAnsi="仿宋_GB2312" w:eastAsia="仿宋_GB2312" w:cs="仿宋_GB2312"/>
          <w:color w:val="auto"/>
          <w:sz w:val="32"/>
          <w:szCs w:val="32"/>
          <w:highlight w:val="none"/>
          <w:shd w:val="clear" w:color="auto" w:fill="auto"/>
        </w:rPr>
        <w:t>基本预算</w:t>
      </w:r>
      <w:r>
        <w:rPr>
          <w:rFonts w:hint="eastAsia" w:ascii="仿宋_GB2312" w:hAnsi="仿宋_GB2312" w:eastAsia="仿宋_GB2312" w:cs="仿宋_GB2312"/>
          <w:color w:val="auto"/>
          <w:sz w:val="32"/>
          <w:szCs w:val="32"/>
          <w:highlight w:val="none"/>
          <w:shd w:val="clear" w:color="auto" w:fill="auto"/>
          <w:lang w:eastAsia="zh-CN"/>
        </w:rPr>
        <w:t>支出</w:t>
      </w:r>
      <w:r>
        <w:rPr>
          <w:rFonts w:hint="eastAsia" w:ascii="仿宋_GB2312" w:hAnsi="仿宋_GB2312" w:eastAsia="仿宋_GB2312" w:cs="仿宋_GB2312"/>
          <w:color w:val="auto"/>
          <w:sz w:val="32"/>
          <w:szCs w:val="32"/>
          <w:highlight w:val="none"/>
          <w:shd w:val="clear" w:color="auto" w:fill="auto"/>
          <w:lang w:val="en-US" w:eastAsia="zh-CN"/>
        </w:rPr>
        <w:t>108876</w:t>
      </w:r>
      <w:r>
        <w:rPr>
          <w:rFonts w:hint="eastAsia" w:ascii="仿宋_GB2312" w:hAnsi="仿宋_GB2312" w:eastAsia="仿宋_GB2312" w:cs="仿宋_GB2312"/>
          <w:color w:val="auto"/>
          <w:sz w:val="32"/>
          <w:szCs w:val="32"/>
          <w:highlight w:val="none"/>
          <w:shd w:val="clear" w:color="auto" w:fill="auto"/>
        </w:rPr>
        <w:t>万元，部门项目预算</w:t>
      </w:r>
      <w:r>
        <w:rPr>
          <w:rFonts w:hint="eastAsia" w:ascii="仿宋_GB2312" w:hAnsi="仿宋_GB2312" w:eastAsia="仿宋_GB2312" w:cs="仿宋_GB2312"/>
          <w:color w:val="auto"/>
          <w:sz w:val="32"/>
          <w:szCs w:val="32"/>
          <w:highlight w:val="none"/>
          <w:shd w:val="clear" w:color="auto" w:fill="auto"/>
          <w:lang w:eastAsia="zh-CN"/>
        </w:rPr>
        <w:t>支出</w:t>
      </w:r>
      <w:r>
        <w:rPr>
          <w:rFonts w:hint="eastAsia" w:ascii="仿宋_GB2312" w:hAnsi="仿宋_GB2312" w:eastAsia="仿宋_GB2312" w:cs="仿宋_GB2312"/>
          <w:color w:val="auto"/>
          <w:sz w:val="32"/>
          <w:szCs w:val="32"/>
          <w:highlight w:val="none"/>
          <w:shd w:val="clear" w:color="auto" w:fill="auto"/>
          <w:lang w:val="en-US" w:eastAsia="zh-CN"/>
        </w:rPr>
        <w:t>79716</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color w:val="auto"/>
          <w:sz w:val="32"/>
          <w:szCs w:val="32"/>
          <w:highlight w:val="none"/>
          <w:shd w:val="clear" w:color="auto" w:fill="auto"/>
          <w:lang w:eastAsia="zh-CN"/>
        </w:rPr>
        <w:t>，偿债等项目支出</w:t>
      </w:r>
      <w:r>
        <w:rPr>
          <w:rFonts w:hint="eastAsia" w:ascii="仿宋_GB2312" w:hAnsi="仿宋_GB2312" w:eastAsia="仿宋_GB2312" w:cs="仿宋_GB2312"/>
          <w:color w:val="auto"/>
          <w:sz w:val="32"/>
          <w:szCs w:val="32"/>
          <w:highlight w:val="none"/>
          <w:shd w:val="clear" w:color="auto" w:fill="auto"/>
          <w:lang w:val="en-US" w:eastAsia="zh-CN"/>
        </w:rPr>
        <w:t>51354</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提前下达</w:t>
      </w:r>
      <w:r>
        <w:rPr>
          <w:rFonts w:hint="eastAsia" w:ascii="仿宋_GB2312" w:hAnsi="仿宋_GB2312" w:eastAsia="仿宋_GB2312" w:cs="仿宋_GB2312"/>
          <w:color w:val="auto"/>
          <w:sz w:val="32"/>
          <w:szCs w:val="32"/>
          <w:highlight w:val="none"/>
          <w:shd w:val="clear" w:color="auto" w:fill="auto"/>
          <w:lang w:val="en-US" w:eastAsia="zh-CN"/>
        </w:rPr>
        <w:t>共同事权及</w:t>
      </w:r>
      <w:r>
        <w:rPr>
          <w:rFonts w:hint="eastAsia" w:ascii="仿宋_GB2312" w:hAnsi="仿宋_GB2312" w:eastAsia="仿宋_GB2312" w:cs="仿宋_GB2312"/>
          <w:color w:val="auto"/>
          <w:sz w:val="32"/>
          <w:szCs w:val="32"/>
          <w:highlight w:val="none"/>
          <w:shd w:val="clear" w:color="auto" w:fill="auto"/>
        </w:rPr>
        <w:t>专项</w:t>
      </w:r>
      <w:r>
        <w:rPr>
          <w:rFonts w:hint="eastAsia" w:ascii="仿宋_GB2312" w:hAnsi="仿宋_GB2312" w:eastAsia="仿宋_GB2312" w:cs="仿宋_GB2312"/>
          <w:color w:val="auto"/>
          <w:sz w:val="32"/>
          <w:szCs w:val="32"/>
          <w:highlight w:val="none"/>
          <w:shd w:val="clear" w:color="auto" w:fill="auto"/>
          <w:lang w:val="en-US" w:eastAsia="zh-CN"/>
        </w:rPr>
        <w:t>转移支付</w:t>
      </w:r>
      <w:r>
        <w:rPr>
          <w:rFonts w:hint="eastAsia" w:ascii="仿宋_GB2312" w:hAnsi="仿宋_GB2312" w:eastAsia="仿宋_GB2312" w:cs="仿宋_GB2312"/>
          <w:color w:val="auto"/>
          <w:sz w:val="32"/>
          <w:szCs w:val="32"/>
          <w:highlight w:val="none"/>
          <w:shd w:val="clear" w:color="auto" w:fill="auto"/>
          <w:lang w:eastAsia="zh-CN"/>
        </w:rPr>
        <w:t>支出</w:t>
      </w:r>
      <w:r>
        <w:rPr>
          <w:rFonts w:hint="eastAsia" w:ascii="仿宋_GB2312" w:hAnsi="仿宋_GB2312" w:eastAsia="仿宋_GB2312" w:cs="仿宋_GB2312"/>
          <w:color w:val="auto"/>
          <w:sz w:val="32"/>
          <w:szCs w:val="32"/>
          <w:highlight w:val="none"/>
          <w:shd w:val="clear" w:color="auto" w:fill="auto"/>
          <w:lang w:val="en-US" w:eastAsia="zh-CN"/>
        </w:rPr>
        <w:t>52270</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color w:val="auto"/>
          <w:sz w:val="32"/>
          <w:szCs w:val="32"/>
          <w:highlight w:val="none"/>
          <w:shd w:val="clear" w:color="auto" w:fill="auto"/>
          <w:lang w:val="en-US" w:eastAsia="zh-CN"/>
        </w:rPr>
        <w:t>。</w:t>
      </w:r>
    </w:p>
    <w:p w14:paraId="56F82875">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b/>
          <w:color w:val="auto"/>
          <w:sz w:val="32"/>
          <w:szCs w:val="32"/>
          <w:highlight w:val="none"/>
          <w:shd w:val="clear" w:color="auto" w:fill="auto"/>
          <w:lang w:eastAsia="zh-CN"/>
        </w:rPr>
      </w:pPr>
      <w:r>
        <w:rPr>
          <w:rFonts w:hint="eastAsia" w:ascii="仿宋_GB2312" w:hAnsi="仿宋_GB2312" w:eastAsia="仿宋_GB2312" w:cs="仿宋_GB2312"/>
          <w:b/>
          <w:color w:val="auto"/>
          <w:sz w:val="32"/>
          <w:szCs w:val="32"/>
          <w:highlight w:val="none"/>
          <w:shd w:val="clear" w:color="auto" w:fill="auto"/>
          <w:lang w:val="en-US" w:eastAsia="zh-CN"/>
        </w:rPr>
        <w:t>2.</w:t>
      </w:r>
      <w:r>
        <w:rPr>
          <w:rFonts w:hint="eastAsia" w:ascii="仿宋_GB2312" w:hAnsi="仿宋_GB2312" w:eastAsia="仿宋_GB2312" w:cs="仿宋_GB2312"/>
          <w:b/>
          <w:color w:val="auto"/>
          <w:sz w:val="32"/>
          <w:szCs w:val="32"/>
          <w:highlight w:val="none"/>
          <w:shd w:val="clear" w:color="auto" w:fill="auto"/>
        </w:rPr>
        <w:t>政府性基金预算</w:t>
      </w:r>
      <w:r>
        <w:rPr>
          <w:rFonts w:hint="eastAsia" w:ascii="仿宋_GB2312" w:hAnsi="仿宋_GB2312" w:eastAsia="仿宋_GB2312" w:cs="仿宋_GB2312"/>
          <w:b/>
          <w:color w:val="auto"/>
          <w:sz w:val="32"/>
          <w:szCs w:val="32"/>
          <w:highlight w:val="none"/>
          <w:shd w:val="clear" w:color="auto" w:fill="auto"/>
          <w:lang w:eastAsia="zh-CN"/>
        </w:rPr>
        <w:t>安排草案</w:t>
      </w:r>
    </w:p>
    <w:p w14:paraId="7A98C727">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b/>
          <w:color w:val="auto"/>
          <w:sz w:val="32"/>
          <w:szCs w:val="32"/>
          <w:highlight w:val="none"/>
          <w:shd w:val="clear" w:color="auto" w:fill="auto"/>
          <w:lang w:val="en-US" w:eastAsia="zh-CN"/>
        </w:rPr>
        <w:t>（1）全县政府性基金预算总收入127416万元，</w:t>
      </w:r>
      <w:r>
        <w:rPr>
          <w:rFonts w:hint="eastAsia" w:ascii="仿宋_GB2312" w:hAnsi="仿宋_GB2312" w:eastAsia="仿宋_GB2312" w:cs="仿宋_GB2312"/>
          <w:color w:val="auto"/>
          <w:sz w:val="32"/>
          <w:szCs w:val="32"/>
          <w:highlight w:val="none"/>
          <w:shd w:val="clear" w:color="auto" w:fill="auto"/>
        </w:rPr>
        <w:t>其中：</w:t>
      </w:r>
      <w:r>
        <w:rPr>
          <w:rFonts w:hint="eastAsia" w:ascii="仿宋_GB2312" w:hAnsi="仿宋_GB2312" w:eastAsia="仿宋_GB2312" w:cs="仿宋_GB2312"/>
          <w:color w:val="auto"/>
          <w:sz w:val="32"/>
          <w:szCs w:val="32"/>
          <w:highlight w:val="none"/>
          <w:shd w:val="clear" w:color="auto" w:fill="auto"/>
          <w:lang w:val="en-US" w:eastAsia="zh-CN"/>
        </w:rPr>
        <w:t>上年结转16416万元，</w:t>
      </w:r>
      <w:r>
        <w:rPr>
          <w:rFonts w:hint="eastAsia" w:ascii="仿宋_GB2312" w:hAnsi="仿宋_GB2312" w:eastAsia="仿宋_GB2312" w:cs="仿宋_GB2312"/>
          <w:color w:val="auto"/>
          <w:sz w:val="32"/>
          <w:szCs w:val="32"/>
          <w:highlight w:val="none"/>
          <w:shd w:val="clear" w:color="auto" w:fill="auto"/>
        </w:rPr>
        <w:t>土地出让金收入</w:t>
      </w:r>
      <w:r>
        <w:rPr>
          <w:rFonts w:hint="eastAsia" w:ascii="仿宋_GB2312" w:hAnsi="仿宋_GB2312" w:eastAsia="仿宋_GB2312" w:cs="仿宋_GB2312"/>
          <w:color w:val="auto"/>
          <w:sz w:val="32"/>
          <w:szCs w:val="32"/>
          <w:highlight w:val="none"/>
          <w:shd w:val="clear" w:color="auto" w:fill="auto"/>
          <w:lang w:val="en-US" w:eastAsia="zh-CN"/>
        </w:rPr>
        <w:t>108700</w:t>
      </w:r>
      <w:r>
        <w:rPr>
          <w:rFonts w:hint="eastAsia" w:ascii="仿宋_GB2312" w:hAnsi="仿宋_GB2312" w:eastAsia="仿宋_GB2312" w:cs="仿宋_GB2312"/>
          <w:color w:val="auto"/>
          <w:sz w:val="32"/>
          <w:szCs w:val="32"/>
          <w:highlight w:val="none"/>
          <w:shd w:val="clear" w:color="auto" w:fill="auto"/>
        </w:rPr>
        <w:t>万元，污水处理费收入</w:t>
      </w:r>
      <w:r>
        <w:rPr>
          <w:rFonts w:hint="eastAsia" w:ascii="仿宋_GB2312" w:hAnsi="仿宋_GB2312" w:eastAsia="仿宋_GB2312" w:cs="仿宋_GB2312"/>
          <w:color w:val="auto"/>
          <w:sz w:val="32"/>
          <w:szCs w:val="32"/>
          <w:highlight w:val="none"/>
          <w:shd w:val="clear" w:color="auto" w:fill="auto"/>
          <w:lang w:val="en-US" w:eastAsia="zh-CN"/>
        </w:rPr>
        <w:t>2300</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color w:val="auto"/>
          <w:sz w:val="32"/>
          <w:szCs w:val="32"/>
          <w:highlight w:val="none"/>
          <w:shd w:val="clear" w:color="auto" w:fill="auto"/>
          <w:lang w:val="en-US" w:eastAsia="zh-CN"/>
        </w:rPr>
        <w:t>。</w:t>
      </w:r>
    </w:p>
    <w:p w14:paraId="2EE5EDFB">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color w:val="auto"/>
          <w:sz w:val="32"/>
          <w:szCs w:val="32"/>
          <w:highlight w:val="none"/>
          <w:shd w:val="clear" w:color="auto" w:fill="auto"/>
          <w:lang w:val="en-US" w:eastAsia="zh-CN"/>
        </w:rPr>
        <w:t>（2）</w:t>
      </w:r>
      <w:r>
        <w:rPr>
          <w:rFonts w:hint="eastAsia" w:ascii="仿宋_GB2312" w:hAnsi="仿宋_GB2312" w:eastAsia="仿宋_GB2312" w:cs="仿宋_GB2312"/>
          <w:b/>
          <w:bCs/>
          <w:color w:val="auto"/>
          <w:sz w:val="32"/>
          <w:szCs w:val="32"/>
          <w:highlight w:val="none"/>
          <w:shd w:val="clear" w:color="auto" w:fill="auto"/>
          <w:lang w:val="en-US" w:eastAsia="zh-CN"/>
        </w:rPr>
        <w:t>全县</w:t>
      </w:r>
      <w:r>
        <w:rPr>
          <w:rFonts w:hint="eastAsia" w:ascii="仿宋_GB2312" w:hAnsi="仿宋_GB2312" w:eastAsia="仿宋_GB2312" w:cs="仿宋_GB2312"/>
          <w:b/>
          <w:bCs/>
          <w:color w:val="auto"/>
          <w:sz w:val="32"/>
          <w:szCs w:val="32"/>
          <w:highlight w:val="none"/>
          <w:shd w:val="clear" w:color="auto" w:fill="auto"/>
        </w:rPr>
        <w:t>政</w:t>
      </w:r>
      <w:r>
        <w:rPr>
          <w:rFonts w:hint="eastAsia" w:ascii="仿宋_GB2312" w:hAnsi="仿宋_GB2312" w:eastAsia="仿宋_GB2312" w:cs="仿宋_GB2312"/>
          <w:b/>
          <w:color w:val="auto"/>
          <w:sz w:val="32"/>
          <w:szCs w:val="32"/>
          <w:highlight w:val="none"/>
          <w:shd w:val="clear" w:color="auto" w:fill="auto"/>
        </w:rPr>
        <w:t>府性基金预算</w:t>
      </w:r>
      <w:r>
        <w:rPr>
          <w:rFonts w:hint="eastAsia" w:ascii="仿宋_GB2312" w:hAnsi="仿宋_GB2312" w:eastAsia="仿宋_GB2312" w:cs="仿宋_GB2312"/>
          <w:b/>
          <w:color w:val="auto"/>
          <w:sz w:val="32"/>
          <w:szCs w:val="32"/>
          <w:highlight w:val="none"/>
          <w:shd w:val="clear" w:color="auto" w:fill="auto"/>
          <w:lang w:eastAsia="zh-CN"/>
        </w:rPr>
        <w:t>总</w:t>
      </w:r>
      <w:r>
        <w:rPr>
          <w:rFonts w:hint="eastAsia" w:ascii="仿宋_GB2312" w:hAnsi="仿宋_GB2312" w:eastAsia="仿宋_GB2312" w:cs="仿宋_GB2312"/>
          <w:b/>
          <w:color w:val="auto"/>
          <w:sz w:val="32"/>
          <w:szCs w:val="32"/>
          <w:highlight w:val="none"/>
          <w:shd w:val="clear" w:color="auto" w:fill="auto"/>
        </w:rPr>
        <w:t>支出</w:t>
      </w:r>
      <w:r>
        <w:rPr>
          <w:rFonts w:hint="eastAsia" w:ascii="仿宋_GB2312" w:hAnsi="仿宋_GB2312" w:eastAsia="仿宋_GB2312" w:cs="仿宋_GB2312"/>
          <w:b/>
          <w:color w:val="auto"/>
          <w:sz w:val="32"/>
          <w:szCs w:val="32"/>
          <w:highlight w:val="none"/>
          <w:shd w:val="clear" w:color="auto" w:fill="auto"/>
          <w:lang w:val="en-US" w:eastAsia="zh-CN"/>
        </w:rPr>
        <w:t>127416</w:t>
      </w:r>
      <w:r>
        <w:rPr>
          <w:rFonts w:hint="eastAsia" w:ascii="仿宋_GB2312" w:hAnsi="仿宋_GB2312" w:eastAsia="仿宋_GB2312" w:cs="仿宋_GB2312"/>
          <w:b/>
          <w:color w:val="auto"/>
          <w:sz w:val="32"/>
          <w:szCs w:val="32"/>
          <w:highlight w:val="none"/>
          <w:shd w:val="clear" w:color="auto" w:fill="auto"/>
        </w:rPr>
        <w:t>万元</w:t>
      </w:r>
      <w:r>
        <w:rPr>
          <w:rFonts w:hint="eastAsia" w:ascii="仿宋_GB2312" w:hAnsi="仿宋_GB2312" w:eastAsia="仿宋_GB2312" w:cs="仿宋_GB2312"/>
          <w:b/>
          <w:color w:val="auto"/>
          <w:sz w:val="32"/>
          <w:szCs w:val="32"/>
          <w:highlight w:val="none"/>
          <w:shd w:val="clear" w:color="auto" w:fill="auto"/>
          <w:lang w:eastAsia="zh-CN"/>
        </w:rPr>
        <w:t>，</w:t>
      </w:r>
      <w:r>
        <w:rPr>
          <w:rFonts w:hint="eastAsia" w:ascii="仿宋_GB2312" w:hAnsi="仿宋_GB2312" w:eastAsia="仿宋_GB2312" w:cs="仿宋_GB2312"/>
          <w:color w:val="auto"/>
          <w:kern w:val="2"/>
          <w:sz w:val="32"/>
          <w:szCs w:val="32"/>
          <w:highlight w:val="none"/>
          <w:shd w:val="clear" w:color="auto" w:fill="auto"/>
          <w:lang w:val="en-US" w:eastAsia="zh-CN" w:bidi="ar-SA"/>
        </w:rPr>
        <w:t>其中：上年结转支出16416万元，部门项目预算支出21748万元，偿债等项目支出89252万元。</w:t>
      </w:r>
    </w:p>
    <w:p w14:paraId="6F3F4441">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color w:val="auto"/>
          <w:sz w:val="32"/>
          <w:szCs w:val="32"/>
          <w:highlight w:val="none"/>
          <w:shd w:val="clear" w:color="auto" w:fill="auto"/>
          <w:lang w:val="en-US" w:eastAsia="zh-CN"/>
        </w:rPr>
        <w:t>3.国有资本经营预算安排草案。</w:t>
      </w:r>
      <w:r>
        <w:rPr>
          <w:rFonts w:hint="eastAsia" w:ascii="仿宋_GB2312" w:hAnsi="仿宋_GB2312" w:eastAsia="仿宋_GB2312" w:cs="仿宋_GB2312"/>
          <w:b w:val="0"/>
          <w:bCs w:val="0"/>
          <w:color w:val="auto"/>
          <w:sz w:val="32"/>
          <w:szCs w:val="32"/>
          <w:highlight w:val="none"/>
          <w:shd w:val="clear" w:color="auto" w:fill="auto"/>
          <w:lang w:val="en-US" w:eastAsia="zh-CN"/>
        </w:rPr>
        <w:t>国有资本经营预算收入72万元，其中：上年结转13万元，上级补助资金23万元，县本级收入36万元。国有资本经营预算支出72万元。</w:t>
      </w:r>
    </w:p>
    <w:p w14:paraId="3718AF12">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color w:val="auto"/>
          <w:sz w:val="32"/>
          <w:szCs w:val="32"/>
          <w:highlight w:val="none"/>
          <w:shd w:val="clear" w:color="auto" w:fill="auto"/>
          <w:lang w:val="en-US" w:eastAsia="zh-CN"/>
        </w:rPr>
        <w:t>4.社会保险基金预算安排草案。</w:t>
      </w:r>
      <w:r>
        <w:rPr>
          <w:rFonts w:hint="eastAsia" w:ascii="仿宋_GB2312" w:hAnsi="仿宋_GB2312" w:eastAsia="仿宋_GB2312" w:cs="仿宋_GB2312"/>
          <w:b w:val="0"/>
          <w:bCs w:val="0"/>
          <w:color w:val="auto"/>
          <w:sz w:val="32"/>
          <w:szCs w:val="32"/>
          <w:highlight w:val="none"/>
          <w:shd w:val="clear" w:color="auto" w:fill="auto"/>
          <w:lang w:val="en-US" w:eastAsia="zh-CN"/>
        </w:rPr>
        <w:t>社会保险基金预算收入236763万元，安排支出232470万元，本年结余4293万元，年末滚存结余48746万元。</w:t>
      </w:r>
    </w:p>
    <w:p w14:paraId="09B192CD">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b/>
          <w:color w:val="auto"/>
          <w:sz w:val="32"/>
          <w:szCs w:val="32"/>
          <w:highlight w:val="none"/>
          <w:shd w:val="clear" w:color="auto" w:fill="auto"/>
          <w:lang w:val="en-US" w:eastAsia="zh-CN"/>
        </w:rPr>
        <w:t>5.政府法定债务到期偿还安排计划。</w:t>
      </w:r>
      <w:r>
        <w:rPr>
          <w:rFonts w:hint="eastAsia" w:ascii="仿宋_GB2312" w:hAnsi="仿宋_GB2312" w:eastAsia="仿宋_GB2312" w:cs="仿宋_GB2312"/>
          <w:b w:val="0"/>
          <w:bCs w:val="0"/>
          <w:color w:val="auto"/>
          <w:sz w:val="32"/>
          <w:szCs w:val="32"/>
          <w:highlight w:val="none"/>
          <w:shd w:val="clear" w:color="auto" w:fill="auto"/>
          <w:lang w:val="en-US" w:eastAsia="zh-CN"/>
        </w:rPr>
        <w:t>2026年到期政府债券还本228056万元，申请再融资债券204000万元，其中：一般债券37000万元，专项债券167000万元；列入县本级预算偿还24056万元，其中：一般公共预算偿还4975万元，政府性基金预算偿还19081万元</w:t>
      </w:r>
      <w:r>
        <w:rPr>
          <w:rFonts w:hint="eastAsia" w:ascii="仿宋_GB2312" w:hAnsi="仿宋_GB2312" w:eastAsia="仿宋_GB2312" w:cs="仿宋_GB2312"/>
          <w:color w:val="auto"/>
          <w:sz w:val="32"/>
          <w:szCs w:val="32"/>
          <w:highlight w:val="none"/>
          <w:shd w:val="clear" w:color="auto" w:fill="auto"/>
          <w:lang w:val="en-US" w:eastAsia="zh-CN"/>
        </w:rPr>
        <w:t>。</w:t>
      </w:r>
    </w:p>
    <w:p w14:paraId="23A559AD">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楷体_GB2312" w:hAnsi="楷体_GB2312" w:eastAsia="楷体_GB2312" w:cs="楷体_GB2312"/>
          <w:b/>
          <w:color w:val="auto"/>
          <w:sz w:val="32"/>
          <w:szCs w:val="32"/>
          <w:highlight w:val="none"/>
          <w:shd w:val="clear" w:color="auto" w:fill="auto"/>
          <w:lang w:val="en-US" w:eastAsia="zh-CN"/>
        </w:rPr>
      </w:pPr>
      <w:r>
        <w:rPr>
          <w:rFonts w:hint="eastAsia" w:ascii="楷体_GB2312" w:hAnsi="楷体_GB2312" w:eastAsia="楷体_GB2312" w:cs="楷体_GB2312"/>
          <w:b/>
          <w:color w:val="auto"/>
          <w:sz w:val="32"/>
          <w:szCs w:val="32"/>
          <w:highlight w:val="none"/>
          <w:shd w:val="clear" w:color="auto" w:fill="auto"/>
          <w:lang w:eastAsia="zh-CN"/>
        </w:rPr>
        <w:t>（二）</w:t>
      </w:r>
      <w:r>
        <w:rPr>
          <w:rFonts w:hint="eastAsia" w:ascii="楷体_GB2312" w:hAnsi="楷体_GB2312" w:eastAsia="楷体_GB2312" w:cs="楷体_GB2312"/>
          <w:b/>
          <w:color w:val="auto"/>
          <w:sz w:val="32"/>
          <w:szCs w:val="32"/>
          <w:highlight w:val="none"/>
          <w:shd w:val="clear" w:color="auto" w:fill="auto"/>
          <w:lang w:val="en-US" w:eastAsia="zh-CN"/>
        </w:rPr>
        <w:t>2026年财政重点工作</w:t>
      </w:r>
    </w:p>
    <w:p w14:paraId="25F4ABF9">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16" w:firstLineChars="200"/>
        <w:jc w:val="both"/>
        <w:textAlignment w:val="auto"/>
        <w:outlineLvl w:val="9"/>
        <w:rPr>
          <w:rFonts w:hint="eastAsia" w:ascii="仿宋_GB2312" w:hAnsi="仿宋_GB2312" w:eastAsia="仿宋_GB2312" w:cs="仿宋_GB2312"/>
          <w:color w:val="auto"/>
          <w:kern w:val="0"/>
          <w:sz w:val="32"/>
          <w:szCs w:val="32"/>
          <w:highlight w:val="none"/>
          <w:shd w:val="clear" w:color="auto" w:fill="auto"/>
          <w:lang w:val="en-US" w:eastAsia="zh-CN" w:bidi="ar"/>
        </w:rPr>
      </w:pPr>
      <w:r>
        <w:rPr>
          <w:rFonts w:hint="eastAsia" w:ascii="仿宋_GB2312" w:hAnsi="仿宋_GB2312" w:eastAsia="仿宋_GB2312" w:cs="仿宋_GB2312"/>
          <w:color w:val="auto"/>
          <w:spacing w:val="-6"/>
          <w:kern w:val="0"/>
          <w:sz w:val="32"/>
          <w:szCs w:val="32"/>
          <w:highlight w:val="none"/>
          <w:shd w:val="clear" w:color="auto" w:fill="auto"/>
          <w:lang w:val="en-US" w:eastAsia="zh-CN" w:bidi="ar"/>
        </w:rPr>
        <w:t>2026年，财政部门将坚定不移贯彻稳中求进工作总基调，</w:t>
      </w:r>
      <w:r>
        <w:rPr>
          <w:rFonts w:hint="eastAsia" w:ascii="仿宋_GB2312" w:hAnsi="仿宋_GB2312" w:eastAsia="仿宋_GB2312" w:cs="仿宋_GB2312"/>
          <w:color w:val="auto"/>
          <w:kern w:val="0"/>
          <w:sz w:val="32"/>
          <w:szCs w:val="32"/>
          <w:highlight w:val="none"/>
          <w:shd w:val="clear" w:color="auto" w:fill="auto"/>
          <w:lang w:val="en-US" w:eastAsia="zh-CN" w:bidi="ar"/>
        </w:rPr>
        <w:t>全面落实县委安排部署及本次大会确定的目标任务，严格执行县人民代表大会批准的预算草案，聚焦全县中心工作，全力保障“十五五”规划开好局、起好步，推动各项财政工作取得实质性进展。</w:t>
      </w:r>
    </w:p>
    <w:p w14:paraId="03987357">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b w:val="0"/>
          <w:bCs w:val="0"/>
          <w:color w:val="auto"/>
          <w:kern w:val="0"/>
          <w:sz w:val="32"/>
          <w:szCs w:val="32"/>
          <w:highlight w:val="none"/>
          <w:shd w:val="clear" w:color="auto" w:fill="auto"/>
          <w:lang w:val="en-US" w:eastAsia="zh-CN" w:bidi="ar"/>
        </w:rPr>
      </w:pPr>
      <w:r>
        <w:rPr>
          <w:rFonts w:hint="eastAsia" w:ascii="仿宋_GB2312" w:hAnsi="仿宋_GB2312" w:eastAsia="仿宋_GB2312" w:cs="仿宋_GB2312"/>
          <w:b/>
          <w:bCs/>
          <w:color w:val="auto"/>
          <w:kern w:val="0"/>
          <w:sz w:val="32"/>
          <w:szCs w:val="32"/>
          <w:highlight w:val="none"/>
          <w:shd w:val="clear" w:color="auto" w:fill="auto"/>
          <w:lang w:val="en-US" w:eastAsia="zh-CN" w:bidi="ar"/>
        </w:rPr>
        <w:t>1.持续深化财源建设，增强财政保障能力。</w:t>
      </w:r>
      <w:r>
        <w:rPr>
          <w:rFonts w:hint="eastAsia" w:ascii="仿宋_GB2312" w:hAnsi="仿宋_GB2312" w:eastAsia="仿宋_GB2312" w:cs="仿宋_GB2312"/>
          <w:b w:val="0"/>
          <w:bCs w:val="0"/>
          <w:color w:val="auto"/>
          <w:kern w:val="0"/>
          <w:sz w:val="32"/>
          <w:szCs w:val="32"/>
          <w:highlight w:val="none"/>
          <w:shd w:val="clear" w:color="auto" w:fill="auto"/>
          <w:lang w:val="en-US" w:eastAsia="zh-CN" w:bidi="ar"/>
        </w:rPr>
        <w:t>始终把财源建设作为财政工作的核心任务，着力培育壮大地方税源、优化收入结构，确保财政收入稳步增长、质效同步提升，为县域发展提供坚实财力支撑。</w:t>
      </w:r>
    </w:p>
    <w:p w14:paraId="13A8D887">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b w:val="0"/>
          <w:bCs w:val="0"/>
          <w:color w:val="auto"/>
          <w:kern w:val="0"/>
          <w:sz w:val="32"/>
          <w:szCs w:val="32"/>
          <w:highlight w:val="none"/>
          <w:shd w:val="clear" w:color="auto" w:fill="auto"/>
          <w:lang w:val="en-US" w:eastAsia="zh-CN" w:bidi="ar"/>
        </w:rPr>
      </w:pPr>
      <w:r>
        <w:rPr>
          <w:rFonts w:hint="eastAsia" w:ascii="仿宋_GB2312" w:hAnsi="仿宋_GB2312" w:eastAsia="仿宋_GB2312" w:cs="仿宋_GB2312"/>
          <w:b/>
          <w:bCs/>
          <w:color w:val="auto"/>
          <w:kern w:val="0"/>
          <w:sz w:val="32"/>
          <w:szCs w:val="32"/>
          <w:highlight w:val="none"/>
          <w:shd w:val="clear" w:color="auto" w:fill="auto"/>
          <w:lang w:val="en-US" w:eastAsia="zh-CN" w:bidi="ar"/>
        </w:rPr>
        <w:t>多措并举挖潜力。</w:t>
      </w:r>
      <w:r>
        <w:rPr>
          <w:rFonts w:hint="eastAsia" w:ascii="仿宋_GB2312" w:hAnsi="仿宋_GB2312" w:eastAsia="仿宋_GB2312" w:cs="仿宋_GB2312"/>
          <w:b w:val="0"/>
          <w:bCs w:val="0"/>
          <w:color w:val="auto"/>
          <w:kern w:val="0"/>
          <w:sz w:val="32"/>
          <w:szCs w:val="32"/>
          <w:highlight w:val="none"/>
          <w:shd w:val="clear" w:color="auto" w:fill="auto"/>
          <w:lang w:val="en-US" w:eastAsia="zh-CN" w:bidi="ar"/>
        </w:rPr>
        <w:t>健全财税联动、信息共享机制，常态化开展税收数据分析研判，紧盯重点行业、重点税源企业实施动态跟踪监管，精准排查征管薄弱环节，严厉打击偷逃骗税行为，做到依法征收、应收尽收，全力稳住税收收入基本盘。</w:t>
      </w:r>
    </w:p>
    <w:p w14:paraId="747F0F61">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b w:val="0"/>
          <w:bCs w:val="0"/>
          <w:color w:val="auto"/>
          <w:kern w:val="0"/>
          <w:sz w:val="32"/>
          <w:szCs w:val="32"/>
          <w:highlight w:val="none"/>
          <w:shd w:val="clear" w:color="auto" w:fill="auto"/>
          <w:lang w:val="en-US" w:eastAsia="zh-CN" w:bidi="ar"/>
        </w:rPr>
      </w:pPr>
      <w:r>
        <w:rPr>
          <w:rFonts w:hint="eastAsia" w:ascii="仿宋_GB2312" w:hAnsi="仿宋_GB2312" w:eastAsia="仿宋_GB2312" w:cs="仿宋_GB2312"/>
          <w:b/>
          <w:bCs/>
          <w:color w:val="auto"/>
          <w:kern w:val="0"/>
          <w:sz w:val="32"/>
          <w:szCs w:val="32"/>
          <w:highlight w:val="none"/>
          <w:shd w:val="clear" w:color="auto" w:fill="auto"/>
          <w:lang w:val="en-US" w:eastAsia="zh-CN" w:bidi="ar"/>
        </w:rPr>
        <w:t>规范管理提质量。</w:t>
      </w:r>
      <w:r>
        <w:rPr>
          <w:rFonts w:hint="eastAsia" w:ascii="仿宋_GB2312" w:hAnsi="仿宋_GB2312" w:eastAsia="仿宋_GB2312" w:cs="仿宋_GB2312"/>
          <w:b w:val="0"/>
          <w:bCs w:val="0"/>
          <w:color w:val="auto"/>
          <w:kern w:val="0"/>
          <w:sz w:val="32"/>
          <w:szCs w:val="32"/>
          <w:highlight w:val="none"/>
          <w:shd w:val="clear" w:color="auto" w:fill="auto"/>
          <w:lang w:val="en-US" w:eastAsia="zh-CN" w:bidi="ar"/>
        </w:rPr>
        <w:t>严格非税收入征缴流程，持续加大政府资源资产盘活力度，处置闲置国有资产，推动资源资产向经营性资产、优质资产转化。强化国有资源资产有偿使用收入管理，提升非税收入管理规范化、精细化水平。</w:t>
      </w:r>
    </w:p>
    <w:p w14:paraId="2CDB342F">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b w:val="0"/>
          <w:bCs w:val="0"/>
          <w:color w:val="auto"/>
          <w:kern w:val="0"/>
          <w:sz w:val="32"/>
          <w:szCs w:val="32"/>
          <w:highlight w:val="none"/>
          <w:shd w:val="clear" w:color="auto" w:fill="auto"/>
          <w:lang w:val="en-US" w:eastAsia="zh-CN" w:bidi="ar"/>
        </w:rPr>
      </w:pPr>
      <w:r>
        <w:rPr>
          <w:rFonts w:hint="eastAsia" w:ascii="仿宋_GB2312" w:hAnsi="仿宋_GB2312" w:eastAsia="仿宋_GB2312" w:cs="仿宋_GB2312"/>
          <w:b/>
          <w:bCs/>
          <w:color w:val="auto"/>
          <w:kern w:val="0"/>
          <w:sz w:val="32"/>
          <w:szCs w:val="32"/>
          <w:highlight w:val="none"/>
          <w:shd w:val="clear" w:color="auto" w:fill="auto"/>
          <w:lang w:val="en-US" w:eastAsia="zh-CN" w:bidi="ar"/>
        </w:rPr>
        <w:t>抢抓机遇争资金。</w:t>
      </w:r>
      <w:r>
        <w:rPr>
          <w:rFonts w:hint="eastAsia" w:ascii="仿宋_GB2312" w:hAnsi="仿宋_GB2312" w:eastAsia="仿宋_GB2312" w:cs="仿宋_GB2312"/>
          <w:b w:val="0"/>
          <w:bCs w:val="0"/>
          <w:color w:val="auto"/>
          <w:kern w:val="0"/>
          <w:sz w:val="32"/>
          <w:szCs w:val="32"/>
          <w:highlight w:val="none"/>
          <w:shd w:val="clear" w:color="auto" w:fill="auto"/>
          <w:lang w:val="en-US" w:eastAsia="zh-CN" w:bidi="ar"/>
        </w:rPr>
        <w:t>主动对接上级部门，把握政策导向和资金投向，联合相关部门健全项目全流程工作机制，扎实做好项</w:t>
      </w:r>
      <w:r>
        <w:rPr>
          <w:rFonts w:hint="eastAsia" w:ascii="仿宋_GB2312" w:hAnsi="仿宋_GB2312" w:eastAsia="仿宋_GB2312" w:cs="仿宋_GB2312"/>
          <w:b w:val="0"/>
          <w:bCs w:val="0"/>
          <w:color w:val="auto"/>
          <w:spacing w:val="-6"/>
          <w:kern w:val="0"/>
          <w:sz w:val="32"/>
          <w:szCs w:val="32"/>
          <w:highlight w:val="none"/>
          <w:shd w:val="clear" w:color="auto" w:fill="auto"/>
          <w:lang w:val="en-US" w:eastAsia="zh-CN" w:bidi="ar"/>
        </w:rPr>
        <w:t>目前期谋划，提升项目成熟度和精准度。加大向上沟通力度，</w:t>
      </w:r>
      <w:r>
        <w:rPr>
          <w:rFonts w:hint="eastAsia" w:ascii="仿宋_GB2312" w:hAnsi="仿宋_GB2312" w:eastAsia="仿宋_GB2312" w:cs="仿宋_GB2312"/>
          <w:b w:val="0"/>
          <w:bCs w:val="0"/>
          <w:color w:val="auto"/>
          <w:kern w:val="0"/>
          <w:sz w:val="32"/>
          <w:szCs w:val="32"/>
          <w:highlight w:val="none"/>
          <w:shd w:val="clear" w:color="auto" w:fill="auto"/>
          <w:lang w:val="en-US" w:eastAsia="zh-CN" w:bidi="ar"/>
        </w:rPr>
        <w:t>积极争取各类转移支付和政策支持，切实把政策红利转化为发展实效。</w:t>
      </w:r>
    </w:p>
    <w:p w14:paraId="035FE3CE">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kern w:val="0"/>
          <w:sz w:val="32"/>
          <w:szCs w:val="32"/>
          <w:highlight w:val="none"/>
          <w:shd w:val="clear" w:color="auto" w:fill="auto"/>
          <w:lang w:val="en-US" w:eastAsia="zh-CN" w:bidi="ar"/>
        </w:rPr>
        <w:t>2.着力保障重点领域，服务高质量发展大局。</w:t>
      </w:r>
      <w:r>
        <w:rPr>
          <w:rFonts w:hint="eastAsia" w:ascii="仿宋_GB2312" w:hAnsi="仿宋_GB2312" w:eastAsia="仿宋_GB2312" w:cs="仿宋_GB2312"/>
          <w:color w:val="auto"/>
          <w:kern w:val="2"/>
          <w:sz w:val="32"/>
          <w:szCs w:val="32"/>
          <w:highlight w:val="none"/>
          <w:shd w:val="clear" w:color="auto" w:fill="auto"/>
          <w:lang w:val="en-US" w:eastAsia="zh-CN" w:bidi="ar-SA"/>
        </w:rPr>
        <w:t>坚持“有保有压、突出重点”原则，持续优化财政支出结构，集中财力保障改善民生、乡村振兴、生态环保、城乡融合等重点领域，以精准高效的财政投入服务全县发展大局。</w:t>
      </w:r>
    </w:p>
    <w:p w14:paraId="113B3822">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倾心保障民生福祉，提升群众幸福指数。</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严格落实“两个只增不减”要求，</w:t>
      </w:r>
      <w:r>
        <w:rPr>
          <w:rFonts w:hint="eastAsia" w:ascii="仿宋_GB2312" w:hAnsi="仿宋_GB2312" w:eastAsia="仿宋_GB2312" w:cs="仿宋_GB2312"/>
          <w:color w:val="auto"/>
          <w:kern w:val="2"/>
          <w:sz w:val="32"/>
          <w:szCs w:val="32"/>
          <w:highlight w:val="none"/>
          <w:shd w:val="clear" w:color="auto" w:fill="auto"/>
          <w:lang w:val="en-US" w:eastAsia="zh-CN" w:bidi="ar-SA"/>
        </w:rPr>
        <w:t>义务教育生均公用经费提高3%，安排</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教育支出59410万元，重</w:t>
      </w:r>
      <w:r>
        <w:rPr>
          <w:rFonts w:hint="eastAsia" w:ascii="仿宋_GB2312" w:hAnsi="仿宋_GB2312" w:eastAsia="仿宋_GB2312" w:cs="仿宋_GB2312"/>
          <w:color w:val="auto"/>
          <w:kern w:val="2"/>
          <w:sz w:val="32"/>
          <w:szCs w:val="32"/>
          <w:highlight w:val="none"/>
          <w:shd w:val="clear" w:color="auto" w:fill="auto"/>
          <w:lang w:val="en-US" w:eastAsia="zh-CN" w:bidi="ar-SA"/>
        </w:rPr>
        <w:t>点推进中小学校园安全加固和普通高中扩容增位，持续扩大优质教育资源供给。安排医疗卫生支出28168万元，用于县医院“一院两区”运行，优化县域医疗资源布局，健全县乡村三级医疗卫生服务体系，提升基层医疗服务水平。落实育儿补贴等生育支持政策，安排育儿补贴资金2224万元，助力构建生育友好型社会。安排社会保障支出78058万元，稳步提高养老保险等社保待遇水平，筑牢社会保障底线。落实稳岗扩岗、职业技能培训等政策，加强重点群体就业帮扶，促进各类群体充分就业。</w:t>
      </w:r>
    </w:p>
    <w:p w14:paraId="3438A568">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聚力推进乡村振兴，加快农业农村现代化。</w:t>
      </w:r>
      <w:r>
        <w:rPr>
          <w:rFonts w:hint="eastAsia" w:ascii="仿宋_GB2312" w:hAnsi="仿宋_GB2312" w:eastAsia="仿宋_GB2312" w:cs="仿宋_GB2312"/>
          <w:color w:val="auto"/>
          <w:kern w:val="2"/>
          <w:sz w:val="32"/>
          <w:szCs w:val="32"/>
          <w:highlight w:val="none"/>
          <w:shd w:val="clear" w:color="auto" w:fill="auto"/>
          <w:lang w:val="en-US" w:eastAsia="zh-CN" w:bidi="ar-SA"/>
        </w:rPr>
        <w:t>安排乡村振兴领域资金39839万元，重点支持闽宁镇高质量发展、农村公益事业建设和高标准农田改造项目实施，持续壮大葡萄酒、冷凉蔬菜等特色农业产业。足额发放耕地地力保护等惠农补贴，强化农业生产要素保障，推动农业农村优先发展，绘就乡村全面振兴新图景。</w:t>
      </w:r>
    </w:p>
    <w:p w14:paraId="4231EA73">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坚守生态环保底线，推动绿色低碳发展。</w:t>
      </w:r>
      <w:r>
        <w:rPr>
          <w:rFonts w:hint="eastAsia" w:ascii="仿宋_GB2312" w:hAnsi="仿宋_GB2312" w:eastAsia="仿宋_GB2312" w:cs="仿宋_GB2312"/>
          <w:color w:val="auto"/>
          <w:kern w:val="2"/>
          <w:sz w:val="32"/>
          <w:szCs w:val="32"/>
          <w:highlight w:val="none"/>
          <w:shd w:val="clear" w:color="auto" w:fill="auto"/>
          <w:lang w:val="en-US" w:eastAsia="zh-CN" w:bidi="ar-SA"/>
        </w:rPr>
        <w:t>安排生态环保领域资金7921万元，坚决打好污染防治攻坚战，重点保障冬季清洁取暖、闽宁镇园艺村给排水管网建设等民生环保工程。加大生态系统保护修复力度，支持永二干沟生态环境整治、林草湿荒一体化保护修复及乔木林管护等项目，持续提升区域生态环境质量。助力产业绿色转型升级，鼓励企业开展节能技术改造，全力支持闽宁镇创建农村能源革命试点，推动经济社会发展全面绿色转型。</w:t>
      </w:r>
    </w:p>
    <w:p w14:paraId="2C39FB1F">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加快新型城镇化建设，促进城乡融合发展。</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安排城乡社区领域</w:t>
      </w:r>
      <w:r>
        <w:rPr>
          <w:rFonts w:hint="eastAsia" w:ascii="仿宋_GB2312" w:hAnsi="仿宋_GB2312" w:eastAsia="仿宋_GB2312" w:cs="仿宋_GB2312"/>
          <w:color w:val="auto"/>
          <w:kern w:val="2"/>
          <w:sz w:val="32"/>
          <w:szCs w:val="32"/>
          <w:highlight w:val="none"/>
          <w:shd w:val="clear" w:color="auto" w:fill="auto"/>
          <w:lang w:val="en-US" w:eastAsia="zh-CN" w:bidi="ar-SA"/>
        </w:rPr>
        <w:t>资金11657万元，重点推进雨污分流改造、老旧小区升级等基础设施项目，持续补齐城乡发展短板。强化产业与人口支撑，统筹财政政策与购房消费补贴等举措，支持服装鞋帽、绿色食品、葡萄酒等主导产业壮大。</w:t>
      </w:r>
    </w:p>
    <w:p w14:paraId="5EE986B4">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kern w:val="0"/>
          <w:sz w:val="32"/>
          <w:szCs w:val="32"/>
          <w:highlight w:val="none"/>
          <w:shd w:val="clear" w:color="auto" w:fill="auto"/>
          <w:lang w:val="en-US" w:eastAsia="zh-CN" w:bidi="ar"/>
        </w:rPr>
        <w:t>3.全面防范化解风险，守牢财政安全底线</w:t>
      </w:r>
      <w:r>
        <w:rPr>
          <w:rFonts w:hint="eastAsia" w:ascii="仿宋_GB2312" w:hAnsi="仿宋_GB2312" w:eastAsia="仿宋_GB2312" w:cs="仿宋_GB2312"/>
          <w:b/>
          <w:bCs/>
          <w:color w:val="auto"/>
          <w:kern w:val="0"/>
          <w:sz w:val="32"/>
          <w:szCs w:val="32"/>
          <w:highlight w:val="none"/>
          <w:shd w:val="clear" w:color="auto" w:fill="auto"/>
          <w:lang w:val="en-US" w:eastAsia="zh-CN" w:bidi="ar"/>
        </w:rPr>
        <w:t>。</w:t>
      </w:r>
      <w:r>
        <w:rPr>
          <w:rFonts w:hint="eastAsia" w:ascii="仿宋_GB2312" w:hAnsi="仿宋_GB2312" w:eastAsia="仿宋_GB2312" w:cs="仿宋_GB2312"/>
          <w:color w:val="auto"/>
          <w:kern w:val="2"/>
          <w:sz w:val="32"/>
          <w:szCs w:val="32"/>
          <w:highlight w:val="none"/>
          <w:shd w:val="clear" w:color="auto" w:fill="auto"/>
          <w:lang w:val="en-US" w:eastAsia="zh-CN" w:bidi="ar-SA"/>
        </w:rPr>
        <w:t>牢固树立底线思维和风险意识，坚持关口前移、标本兼治，统筹推进“三保”保障、债务管控、资金规范管理等工作，坚决守住不发生系统性风险底线，确保财政运行持续稳健。</w:t>
      </w:r>
    </w:p>
    <w:p w14:paraId="313A3AEE">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优先保障“三保”支出。</w:t>
      </w:r>
      <w:r>
        <w:rPr>
          <w:rFonts w:hint="eastAsia" w:ascii="仿宋_GB2312" w:hAnsi="仿宋_GB2312" w:eastAsia="仿宋_GB2312" w:cs="仿宋_GB2312"/>
          <w:color w:val="auto"/>
          <w:kern w:val="2"/>
          <w:sz w:val="32"/>
          <w:szCs w:val="32"/>
          <w:highlight w:val="none"/>
          <w:shd w:val="clear" w:color="auto" w:fill="auto"/>
          <w:lang w:val="en-US" w:eastAsia="zh-CN" w:bidi="ar-SA"/>
        </w:rPr>
        <w:t>始终把“三保”作为财政工作的重中之重，坚持“三保”支出在预算安排中的优先顺序，严格</w:t>
      </w:r>
      <w:r>
        <w:rPr>
          <w:rFonts w:hint="eastAsia" w:ascii="仿宋_GB2312" w:hAnsi="仿宋_GB2312" w:eastAsia="仿宋_GB2312" w:cs="仿宋_GB2312"/>
          <w:color w:val="auto"/>
          <w:spacing w:val="6"/>
          <w:kern w:val="2"/>
          <w:sz w:val="32"/>
          <w:szCs w:val="32"/>
          <w:highlight w:val="none"/>
          <w:shd w:val="clear" w:color="auto" w:fill="auto"/>
          <w:lang w:val="en-US" w:eastAsia="zh-CN" w:bidi="ar-SA"/>
        </w:rPr>
        <w:t>执行“三保”预算刚性约束，统筹调度资金，保障基本民生、</w:t>
      </w:r>
      <w:r>
        <w:rPr>
          <w:rFonts w:hint="eastAsia" w:ascii="仿宋_GB2312" w:hAnsi="仿宋_GB2312" w:eastAsia="仿宋_GB2312" w:cs="仿宋_GB2312"/>
          <w:color w:val="auto"/>
          <w:kern w:val="2"/>
          <w:sz w:val="32"/>
          <w:szCs w:val="32"/>
          <w:highlight w:val="none"/>
          <w:shd w:val="clear" w:color="auto" w:fill="auto"/>
          <w:lang w:val="en-US" w:eastAsia="zh-CN" w:bidi="ar-SA"/>
        </w:rPr>
        <w:t>工资发放等刚性需求。全年“三保”支出预算安排174370万元，其中保民生61120万元、保工资103196万元、保运转10054万元。</w:t>
      </w:r>
    </w:p>
    <w:p w14:paraId="7A743F08">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从严管控政府债务。</w:t>
      </w:r>
      <w:r>
        <w:rPr>
          <w:rFonts w:hint="eastAsia" w:ascii="仿宋_GB2312" w:hAnsi="仿宋_GB2312" w:eastAsia="仿宋_GB2312" w:cs="仿宋_GB2312"/>
          <w:color w:val="auto"/>
          <w:kern w:val="2"/>
          <w:sz w:val="32"/>
          <w:szCs w:val="32"/>
          <w:highlight w:val="none"/>
          <w:shd w:val="clear" w:color="auto" w:fill="auto"/>
          <w:lang w:val="en-US" w:eastAsia="zh-CN" w:bidi="ar-SA"/>
        </w:rPr>
        <w:t>坚决落实自治区关于支持永宁县化解债务风险工作要求，稳妥推进存量债务化解，严格遏制新增隐性债务。全年计划偿还债务本息96778万元，争取债务风险等级</w:t>
      </w:r>
      <w:r>
        <w:rPr>
          <w:rFonts w:hint="eastAsia" w:ascii="仿宋_GB2312" w:hAnsi="仿宋_GB2312" w:eastAsia="仿宋_GB2312" w:cs="仿宋_GB2312"/>
          <w:color w:val="auto"/>
          <w:spacing w:val="6"/>
          <w:kern w:val="2"/>
          <w:sz w:val="32"/>
          <w:szCs w:val="32"/>
          <w:highlight w:val="none"/>
          <w:shd w:val="clear" w:color="auto" w:fill="auto"/>
          <w:lang w:val="en-US" w:eastAsia="zh-CN" w:bidi="ar-SA"/>
        </w:rPr>
        <w:t>早日实现“降级转色”。强化专项债券项目全生命周期管理，</w:t>
      </w:r>
      <w:r>
        <w:rPr>
          <w:rFonts w:hint="eastAsia" w:ascii="仿宋_GB2312" w:hAnsi="仿宋_GB2312" w:eastAsia="仿宋_GB2312" w:cs="仿宋_GB2312"/>
          <w:color w:val="auto"/>
          <w:kern w:val="2"/>
          <w:sz w:val="32"/>
          <w:szCs w:val="32"/>
          <w:highlight w:val="none"/>
          <w:shd w:val="clear" w:color="auto" w:fill="auto"/>
          <w:lang w:val="en-US" w:eastAsia="zh-CN" w:bidi="ar-SA"/>
        </w:rPr>
        <w:t>严把项目准入、竣工验收等关键环节，确保债券资金安全高效使用。</w:t>
      </w:r>
    </w:p>
    <w:p w14:paraId="05B247D4">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规范国库资金管理。</w:t>
      </w:r>
      <w:r>
        <w:rPr>
          <w:rFonts w:hint="eastAsia" w:ascii="仿宋_GB2312" w:hAnsi="仿宋_GB2312" w:eastAsia="仿宋_GB2312" w:cs="仿宋_GB2312"/>
          <w:color w:val="auto"/>
          <w:kern w:val="2"/>
          <w:sz w:val="32"/>
          <w:szCs w:val="32"/>
          <w:highlight w:val="none"/>
          <w:shd w:val="clear" w:color="auto" w:fill="auto"/>
          <w:lang w:val="en-US" w:eastAsia="zh-CN" w:bidi="ar-SA"/>
        </w:rPr>
        <w:t>严格执行国库集中支付制度，强化财政资金全流程监管。严控暂付款规模，坚决落实“只减不增”要求，稳步推进暂付款化解工作，全年计划消化暂付款10000万元，不断优化财政资金流动性，提升财政资金使用效益和安全水平。</w:t>
      </w:r>
    </w:p>
    <w:p w14:paraId="672A2120">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sz w:val="32"/>
          <w:szCs w:val="32"/>
          <w:highlight w:val="none"/>
          <w:shd w:val="clear" w:color="auto" w:fill="auto"/>
          <w:lang w:val="en-US" w:eastAsia="zh-CN"/>
        </w:rPr>
        <w:t>4.</w:t>
      </w:r>
      <w:r>
        <w:rPr>
          <w:rFonts w:hint="eastAsia" w:ascii="仿宋_GB2312" w:hAnsi="仿宋_GB2312" w:eastAsia="仿宋_GB2312" w:cs="仿宋_GB2312"/>
          <w:b/>
          <w:bCs/>
          <w:color w:val="auto"/>
          <w:sz w:val="32"/>
          <w:szCs w:val="32"/>
          <w:highlight w:val="none"/>
          <w:shd w:val="clear" w:color="auto" w:fill="auto"/>
          <w:lang w:eastAsia="zh-CN"/>
        </w:rPr>
        <w:t>深化财政管理改革，提升科学管理水平。</w:t>
      </w:r>
      <w:r>
        <w:rPr>
          <w:rFonts w:hint="eastAsia" w:ascii="仿宋_GB2312" w:hAnsi="仿宋_GB2312" w:eastAsia="仿宋_GB2312" w:cs="仿宋_GB2312"/>
          <w:color w:val="auto"/>
          <w:kern w:val="2"/>
          <w:sz w:val="32"/>
          <w:szCs w:val="32"/>
          <w:highlight w:val="none"/>
          <w:shd w:val="clear" w:color="auto" w:fill="auto"/>
          <w:lang w:val="en-US" w:eastAsia="zh-CN" w:bidi="ar-SA"/>
        </w:rPr>
        <w:t>坚持以改革创新破解发展难题，持续推进财政管理规范化、精细化、现代化建设，以更优管理效能释放财政政策红利。</w:t>
      </w:r>
    </w:p>
    <w:p w14:paraId="2EFAF8A9">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全面深化零基预算改革。</w:t>
      </w:r>
      <w:r>
        <w:rPr>
          <w:rFonts w:hint="eastAsia" w:ascii="仿宋_GB2312" w:hAnsi="仿宋_GB2312" w:eastAsia="仿宋_GB2312" w:cs="仿宋_GB2312"/>
          <w:color w:val="auto"/>
          <w:kern w:val="2"/>
          <w:sz w:val="32"/>
          <w:szCs w:val="32"/>
          <w:highlight w:val="none"/>
          <w:shd w:val="clear" w:color="auto" w:fill="auto"/>
          <w:lang w:val="en-US" w:eastAsia="zh-CN" w:bidi="ar-SA"/>
        </w:rPr>
        <w:t>坚决打破“基数+增长”的传统预</w:t>
      </w:r>
      <w:r>
        <w:rPr>
          <w:rFonts w:hint="eastAsia" w:ascii="仿宋_GB2312" w:hAnsi="仿宋_GB2312" w:eastAsia="仿宋_GB2312" w:cs="仿宋_GB2312"/>
          <w:color w:val="auto"/>
          <w:spacing w:val="6"/>
          <w:kern w:val="2"/>
          <w:sz w:val="32"/>
          <w:szCs w:val="32"/>
          <w:highlight w:val="none"/>
          <w:shd w:val="clear" w:color="auto" w:fill="auto"/>
          <w:lang w:val="en-US" w:eastAsia="zh-CN" w:bidi="ar-SA"/>
        </w:rPr>
        <w:t>算编制模式，以零为基点统筹谋划年度支出，根据政策导向、</w:t>
      </w:r>
      <w:r>
        <w:rPr>
          <w:rFonts w:hint="eastAsia" w:ascii="仿宋_GB2312" w:hAnsi="仿宋_GB2312" w:eastAsia="仿宋_GB2312" w:cs="仿宋_GB2312"/>
          <w:color w:val="auto"/>
          <w:kern w:val="2"/>
          <w:sz w:val="32"/>
          <w:szCs w:val="32"/>
          <w:highlight w:val="none"/>
          <w:shd w:val="clear" w:color="auto" w:fill="auto"/>
          <w:lang w:val="en-US" w:eastAsia="zh-CN" w:bidi="ar-SA"/>
        </w:rPr>
        <w:t>实际需求和绩效评价结果，科学核定预算额度。健全项目入库评审和动态清理机制，从严清理整合政策到期、低效无效项目，推动财政资源向重点领域、高效益项目集中，提升资金配置精准度。</w:t>
      </w:r>
    </w:p>
    <w:p w14:paraId="75A82F71">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健全全过程绩效管理体系。</w:t>
      </w:r>
      <w:r>
        <w:rPr>
          <w:rFonts w:hint="eastAsia" w:ascii="仿宋_GB2312" w:hAnsi="仿宋_GB2312" w:eastAsia="仿宋_GB2312" w:cs="仿宋_GB2312"/>
          <w:color w:val="auto"/>
          <w:kern w:val="2"/>
          <w:sz w:val="32"/>
          <w:szCs w:val="32"/>
          <w:highlight w:val="none"/>
          <w:shd w:val="clear" w:color="auto" w:fill="auto"/>
          <w:lang w:val="en-US" w:eastAsia="zh-CN" w:bidi="ar-SA"/>
        </w:rPr>
        <w:t>将绩效管理贯穿预算编制、执行、监督全流程，完善绩效结果与预算安排挂钩机制。严格落实项目绩效目标管理要求，所有预算项目均设定可量化、可考核、可应用的绩效指标，加强预算执行动态监控和绩效运行监</w:t>
      </w:r>
      <w:r>
        <w:rPr>
          <w:rFonts w:hint="eastAsia" w:ascii="仿宋_GB2312" w:hAnsi="仿宋_GB2312" w:eastAsia="仿宋_GB2312" w:cs="仿宋_GB2312"/>
          <w:color w:val="auto"/>
          <w:spacing w:val="6"/>
          <w:kern w:val="2"/>
          <w:sz w:val="32"/>
          <w:szCs w:val="32"/>
          <w:highlight w:val="none"/>
          <w:shd w:val="clear" w:color="auto" w:fill="auto"/>
          <w:lang w:val="en-US" w:eastAsia="zh-CN" w:bidi="ar-SA"/>
        </w:rPr>
        <w:t>控，强化评价结果应用，坚决杜绝“重投入、轻效益”现象，</w:t>
      </w:r>
      <w:r>
        <w:rPr>
          <w:rFonts w:hint="eastAsia" w:ascii="仿宋_GB2312" w:hAnsi="仿宋_GB2312" w:eastAsia="仿宋_GB2312" w:cs="仿宋_GB2312"/>
          <w:color w:val="auto"/>
          <w:kern w:val="2"/>
          <w:sz w:val="32"/>
          <w:szCs w:val="32"/>
          <w:highlight w:val="none"/>
          <w:shd w:val="clear" w:color="auto" w:fill="auto"/>
          <w:lang w:val="en-US" w:eastAsia="zh-CN" w:bidi="ar-SA"/>
        </w:rPr>
        <w:t>提高财政资金使用效益。</w:t>
      </w:r>
    </w:p>
    <w:p w14:paraId="1EB137C6">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19" w:firstLineChars="200"/>
        <w:jc w:val="both"/>
        <w:textAlignment w:val="auto"/>
        <w:outlineLvl w:val="9"/>
        <w:rPr>
          <w:rFonts w:hint="eastAsia" w:ascii="仿宋_GB2312" w:hAnsi="仿宋_GB2312" w:eastAsia="仿宋_GB2312" w:cs="仿宋_GB2312"/>
          <w:color w:val="auto"/>
          <w:spacing w:val="-6"/>
          <w:kern w:val="2"/>
          <w:sz w:val="32"/>
          <w:szCs w:val="32"/>
          <w:highlight w:val="none"/>
          <w:shd w:val="clear" w:color="auto" w:fill="auto"/>
          <w:lang w:val="en-US" w:eastAsia="zh-CN" w:bidi="ar-SA"/>
        </w:rPr>
      </w:pPr>
      <w:r>
        <w:rPr>
          <w:rFonts w:hint="eastAsia" w:ascii="仿宋_GB2312" w:hAnsi="仿宋_GB2312" w:eastAsia="仿宋_GB2312" w:cs="仿宋_GB2312"/>
          <w:b/>
          <w:bCs/>
          <w:color w:val="auto"/>
          <w:spacing w:val="-6"/>
          <w:kern w:val="2"/>
          <w:sz w:val="32"/>
          <w:szCs w:val="32"/>
          <w:highlight w:val="none"/>
          <w:shd w:val="clear" w:color="auto" w:fill="auto"/>
          <w:lang w:val="en-US" w:eastAsia="zh-CN" w:bidi="ar-SA"/>
        </w:rPr>
        <w:t>构建全方位财会监督格局。</w:t>
      </w:r>
      <w:r>
        <w:rPr>
          <w:rFonts w:hint="eastAsia" w:ascii="仿宋_GB2312" w:hAnsi="仿宋_GB2312" w:eastAsia="仿宋_GB2312" w:cs="仿宋_GB2312"/>
          <w:color w:val="auto"/>
          <w:spacing w:val="-6"/>
          <w:kern w:val="2"/>
          <w:sz w:val="32"/>
          <w:szCs w:val="32"/>
          <w:highlight w:val="none"/>
          <w:shd w:val="clear" w:color="auto" w:fill="auto"/>
          <w:lang w:val="en-US" w:eastAsia="zh-CN" w:bidi="ar-SA"/>
        </w:rPr>
        <w:t>扛牢财政部门监管主体责任，深化与人大监督、巡视巡察、审计监督</w:t>
      </w:r>
      <w:bookmarkStart w:id="0" w:name="_GoBack"/>
      <w:bookmarkEnd w:id="0"/>
      <w:r>
        <w:rPr>
          <w:rFonts w:hint="eastAsia" w:ascii="仿宋_GB2312" w:hAnsi="仿宋_GB2312" w:eastAsia="仿宋_GB2312" w:cs="仿宋_GB2312"/>
          <w:color w:val="auto"/>
          <w:spacing w:val="-6"/>
          <w:kern w:val="2"/>
          <w:sz w:val="32"/>
          <w:szCs w:val="32"/>
          <w:highlight w:val="none"/>
          <w:shd w:val="clear" w:color="auto" w:fill="auto"/>
          <w:lang w:val="en-US" w:eastAsia="zh-CN" w:bidi="ar-SA"/>
        </w:rPr>
        <w:t>的贯通协调，建立健全信息共享、线索移送、成果互认机制。强化财政资金直达机制与监管协同，对重点项目、民生领域资金实行全过程跟踪监管，及时发现和纠正问题。</w:t>
      </w:r>
    </w:p>
    <w:p w14:paraId="5257B914">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val="0"/>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征程万里风正劲，重任千钧再出发。2026年是“十五五”规划开局起步的关键之年，做好财政工作任务艰巨、意义重大。我们将始终坚持以习近平新时代中国特色社会主义思想为指导，在县委的坚强领导下，主动接受县人大、县政协和社会各界的监督指导，坚定信心、锚定目标，以攻坚克难的锐气破解发展难题，以改革创新的精神提升治理效能，以务实担当的作风狠抓工作落实，奋力开创财政工作新局面，为全面建设社会主义现代化新永宁提供坚实财力保障，不辜负全县人民的信任与重托。</w:t>
      </w:r>
    </w:p>
    <w:p w14:paraId="1456A312">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br w:type="page"/>
      </w:r>
    </w:p>
    <w:p w14:paraId="06A282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shd w:val="clear" w:color="auto" w:fill="auto"/>
          <w:lang w:eastAsia="zh-CN"/>
        </w:rPr>
      </w:pPr>
      <w:r>
        <w:rPr>
          <w:rFonts w:hint="eastAsia" w:ascii="方正小标宋简体" w:hAnsi="方正小标宋简体" w:eastAsia="方正小标宋简体" w:cs="方正小标宋简体"/>
          <w:b w:val="0"/>
          <w:bCs w:val="0"/>
          <w:color w:val="auto"/>
          <w:sz w:val="44"/>
          <w:szCs w:val="44"/>
          <w:highlight w:val="none"/>
          <w:shd w:val="clear" w:color="auto" w:fill="auto"/>
          <w:lang w:eastAsia="zh-CN"/>
        </w:rPr>
        <w:t>名</w:t>
      </w:r>
      <w:r>
        <w:rPr>
          <w:rFonts w:hint="eastAsia" w:ascii="方正小标宋简体" w:hAnsi="方正小标宋简体" w:eastAsia="方正小标宋简体" w:cs="方正小标宋简体"/>
          <w:b w:val="0"/>
          <w:bCs w:val="0"/>
          <w:color w:val="auto"/>
          <w:sz w:val="44"/>
          <w:szCs w:val="44"/>
          <w:highlight w:val="none"/>
          <w:shd w:val="clear" w:color="auto" w:fill="auto"/>
          <w:lang w:val="en-US" w:eastAsia="zh-CN"/>
        </w:rPr>
        <w:t xml:space="preserve"> </w:t>
      </w:r>
      <w:r>
        <w:rPr>
          <w:rFonts w:hint="eastAsia" w:ascii="方正小标宋简体" w:hAnsi="方正小标宋简体" w:eastAsia="方正小标宋简体" w:cs="方正小标宋简体"/>
          <w:b w:val="0"/>
          <w:bCs w:val="0"/>
          <w:color w:val="auto"/>
          <w:sz w:val="44"/>
          <w:szCs w:val="44"/>
          <w:highlight w:val="none"/>
          <w:shd w:val="clear" w:color="auto" w:fill="auto"/>
          <w:lang w:eastAsia="zh-CN"/>
        </w:rPr>
        <w:t>词</w:t>
      </w:r>
      <w:r>
        <w:rPr>
          <w:rFonts w:hint="eastAsia" w:ascii="方正小标宋简体" w:hAnsi="方正小标宋简体" w:eastAsia="方正小标宋简体" w:cs="方正小标宋简体"/>
          <w:b w:val="0"/>
          <w:bCs w:val="0"/>
          <w:color w:val="auto"/>
          <w:sz w:val="44"/>
          <w:szCs w:val="44"/>
          <w:highlight w:val="none"/>
          <w:shd w:val="clear" w:color="auto" w:fill="auto"/>
          <w:lang w:val="en-US" w:eastAsia="zh-CN"/>
        </w:rPr>
        <w:t xml:space="preserve"> </w:t>
      </w:r>
      <w:r>
        <w:rPr>
          <w:rFonts w:hint="eastAsia" w:ascii="方正小标宋简体" w:hAnsi="方正小标宋简体" w:eastAsia="方正小标宋简体" w:cs="方正小标宋简体"/>
          <w:b w:val="0"/>
          <w:bCs w:val="0"/>
          <w:color w:val="auto"/>
          <w:sz w:val="44"/>
          <w:szCs w:val="44"/>
          <w:highlight w:val="none"/>
          <w:shd w:val="clear" w:color="auto" w:fill="auto"/>
          <w:lang w:eastAsia="zh-CN"/>
        </w:rPr>
        <w:t>解</w:t>
      </w:r>
      <w:r>
        <w:rPr>
          <w:rFonts w:hint="eastAsia" w:ascii="方正小标宋简体" w:hAnsi="方正小标宋简体" w:eastAsia="方正小标宋简体" w:cs="方正小标宋简体"/>
          <w:b w:val="0"/>
          <w:bCs w:val="0"/>
          <w:color w:val="auto"/>
          <w:sz w:val="44"/>
          <w:szCs w:val="44"/>
          <w:highlight w:val="none"/>
          <w:shd w:val="clear" w:color="auto" w:fill="auto"/>
          <w:lang w:val="en-US" w:eastAsia="zh-CN"/>
        </w:rPr>
        <w:t xml:space="preserve"> </w:t>
      </w:r>
      <w:r>
        <w:rPr>
          <w:rFonts w:hint="eastAsia" w:ascii="方正小标宋简体" w:hAnsi="方正小标宋简体" w:eastAsia="方正小标宋简体" w:cs="方正小标宋简体"/>
          <w:b w:val="0"/>
          <w:bCs w:val="0"/>
          <w:color w:val="auto"/>
          <w:sz w:val="44"/>
          <w:szCs w:val="44"/>
          <w:highlight w:val="none"/>
          <w:shd w:val="clear" w:color="auto" w:fill="auto"/>
          <w:lang w:eastAsia="zh-CN"/>
        </w:rPr>
        <w:t>释</w:t>
      </w:r>
    </w:p>
    <w:p w14:paraId="42AB6272">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bCs/>
          <w:color w:val="auto"/>
          <w:sz w:val="32"/>
          <w:szCs w:val="32"/>
          <w:highlight w:val="none"/>
          <w:shd w:val="clear" w:color="auto" w:fill="auto"/>
          <w:lang w:eastAsia="zh-CN"/>
        </w:rPr>
      </w:pPr>
    </w:p>
    <w:p w14:paraId="241F503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lang w:eastAsia="zh-CN"/>
        </w:rPr>
        <w:t>零基预算改革：</w:t>
      </w:r>
      <w:r>
        <w:rPr>
          <w:rFonts w:hint="eastAsia" w:ascii="仿宋_GB2312" w:hAnsi="仿宋_GB2312" w:eastAsia="仿宋_GB2312" w:cs="仿宋_GB2312"/>
          <w:color w:val="auto"/>
          <w:sz w:val="32"/>
          <w:szCs w:val="32"/>
          <w:highlight w:val="none"/>
          <w:shd w:val="clear" w:color="auto" w:fill="auto"/>
          <w:lang w:eastAsia="zh-CN"/>
        </w:rPr>
        <w:t>是指不以历史期的经济活动及其预算为基础，从零开始，根据实际需要和财力状况来编制预算。</w:t>
      </w:r>
    </w:p>
    <w:p w14:paraId="243FC214">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一般公共预算</w:t>
      </w:r>
      <w:r>
        <w:rPr>
          <w:rFonts w:hint="eastAsia" w:ascii="仿宋_GB2312" w:hAnsi="仿宋_GB2312" w:eastAsia="仿宋_GB2312" w:cs="仿宋_GB2312"/>
          <w:b/>
          <w:bCs/>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指政府凭借国家政治权力，以社会管理者身份筹集以税收为主体的财政收入，用于保障和改善民生、维持国家行政职能正常运转、保障国家安全等方面的收支预算。</w:t>
      </w:r>
    </w:p>
    <w:p w14:paraId="4B5EA4E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政府性基金预算：</w:t>
      </w:r>
      <w:r>
        <w:rPr>
          <w:rFonts w:hint="eastAsia" w:ascii="仿宋_GB2312" w:hAnsi="仿宋_GB2312" w:eastAsia="仿宋_GB2312" w:cs="仿宋_GB2312"/>
          <w:color w:val="auto"/>
          <w:sz w:val="32"/>
          <w:szCs w:val="32"/>
          <w:highlight w:val="none"/>
          <w:shd w:val="clear" w:color="auto" w:fill="auto"/>
        </w:rPr>
        <w:t>是指政府通过向社会征收基金、收费，以及出让</w:t>
      </w:r>
      <w:r>
        <w:rPr>
          <w:rFonts w:hint="eastAsia" w:ascii="仿宋_GB2312" w:hAnsi="仿宋_GB2312" w:eastAsia="仿宋_GB2312" w:cs="仿宋_GB2312"/>
          <w:color w:val="auto"/>
          <w:sz w:val="32"/>
          <w:szCs w:val="32"/>
          <w:highlight w:val="none"/>
          <w:shd w:val="clear" w:color="auto" w:fill="auto"/>
          <w:lang w:eastAsia="zh-CN"/>
        </w:rPr>
        <w:t>土地</w:t>
      </w:r>
      <w:r>
        <w:rPr>
          <w:rFonts w:hint="eastAsia" w:ascii="仿宋_GB2312" w:hAnsi="仿宋_GB2312" w:eastAsia="仿宋_GB2312" w:cs="仿宋_GB2312"/>
          <w:color w:val="auto"/>
          <w:sz w:val="32"/>
          <w:szCs w:val="32"/>
          <w:highlight w:val="none"/>
          <w:shd w:val="clear" w:color="auto" w:fill="auto"/>
        </w:rPr>
        <w:t>、发行彩票等方式取得收入，专项用于支持特定基础设施建设和社会事业发展等方面的收支预算。政府性基金预算应当根据基金项目收入情况和实际支出需要，按基金项目编制，做到以收定支。</w:t>
      </w:r>
    </w:p>
    <w:p w14:paraId="29DFC7D3">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国有资本经营预算：</w:t>
      </w:r>
      <w:r>
        <w:rPr>
          <w:rFonts w:hint="eastAsia" w:ascii="仿宋_GB2312" w:hAnsi="仿宋_GB2312" w:eastAsia="仿宋_GB2312" w:cs="仿宋_GB2312"/>
          <w:color w:val="auto"/>
          <w:sz w:val="32"/>
          <w:szCs w:val="32"/>
          <w:highlight w:val="none"/>
          <w:shd w:val="clear" w:color="auto" w:fill="auto"/>
        </w:rPr>
        <w:t>是指国家以所有者身份依法取得国有资本收益，并对所得收益进行分配而发生的收支预算。国有资本经营预算支出按照当年预算收入规模安排，不列赤字。</w:t>
      </w:r>
    </w:p>
    <w:p w14:paraId="2AB4D3A0">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社会保险基金预算：</w:t>
      </w:r>
      <w:r>
        <w:rPr>
          <w:rFonts w:hint="eastAsia" w:ascii="仿宋_GB2312" w:hAnsi="仿宋_GB2312" w:eastAsia="仿宋_GB2312" w:cs="仿宋_GB2312"/>
          <w:color w:val="auto"/>
          <w:sz w:val="32"/>
          <w:szCs w:val="32"/>
          <w:highlight w:val="none"/>
          <w:shd w:val="clear" w:color="auto" w:fill="auto"/>
        </w:rPr>
        <w:t>是指对社会保险缴款、一般公共预算安排和其他方式筹集的资金，专项用于社会保险的收支预算。社会保险基金预算应当按照统筹层次和社会保险项目分别编制，做到收支平衡。</w:t>
      </w:r>
    </w:p>
    <w:p w14:paraId="78B4B78D">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税收收入：</w:t>
      </w:r>
      <w:r>
        <w:rPr>
          <w:rFonts w:hint="eastAsia" w:ascii="仿宋_GB2312" w:hAnsi="仿宋_GB2312" w:eastAsia="仿宋_GB2312" w:cs="仿宋_GB2312"/>
          <w:color w:val="auto"/>
          <w:sz w:val="32"/>
          <w:szCs w:val="32"/>
          <w:highlight w:val="none"/>
          <w:shd w:val="clear" w:color="auto" w:fill="auto"/>
        </w:rPr>
        <w:t>是指政府为履行其职能，凭借政治权力，按照特定标准，强制、无偿地取得公共收入的一种形式。包括：增值税、企业所得税、个人所得税、资源税、城市维护建设税、房产税、印花税、城镇土地使用税、土地增值税、车船税、契税、耕地占用税等税收收入。</w:t>
      </w:r>
    </w:p>
    <w:p w14:paraId="0F36C675">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非税收入：</w:t>
      </w:r>
      <w:r>
        <w:rPr>
          <w:rFonts w:hint="eastAsia" w:ascii="仿宋_GB2312" w:hAnsi="仿宋_GB2312" w:eastAsia="仿宋_GB2312" w:cs="仿宋_GB2312"/>
          <w:color w:val="auto"/>
          <w:sz w:val="32"/>
          <w:szCs w:val="32"/>
          <w:highlight w:val="none"/>
          <w:shd w:val="clear" w:color="auto" w:fill="auto"/>
        </w:rPr>
        <w:t>是指一般公共预算收入中除税收以外的其他各项收入，包括：专项收入（包括教育费附加收入、残疾人就业保障金收入、广告收入等）、行政事业性收费收入、罚没收入、国有资本经营收入、国有资产有偿使用收入、其他收入等。</w:t>
      </w:r>
    </w:p>
    <w:p w14:paraId="67244BE6">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上级转移支付：</w:t>
      </w:r>
      <w:r>
        <w:rPr>
          <w:rFonts w:hint="eastAsia" w:ascii="仿宋_GB2312" w:hAnsi="仿宋_GB2312" w:eastAsia="仿宋_GB2312" w:cs="仿宋_GB2312"/>
          <w:color w:val="auto"/>
          <w:sz w:val="32"/>
          <w:szCs w:val="32"/>
          <w:highlight w:val="none"/>
          <w:shd w:val="clear" w:color="auto" w:fill="auto"/>
        </w:rPr>
        <w:t>是指上级对下级的一种补助，目的是弥补财政实力薄弱地区的财力缺口，均衡地区间财力差距，以实现各地公共服务均等化为目标，而实行的一种财政资金转移或财政</w:t>
      </w:r>
      <w:r>
        <w:rPr>
          <w:rFonts w:hint="eastAsia" w:ascii="仿宋_GB2312" w:hAnsi="仿宋_GB2312" w:eastAsia="仿宋_GB2312" w:cs="仿宋_GB2312"/>
          <w:color w:val="auto"/>
          <w:sz w:val="32"/>
          <w:szCs w:val="32"/>
          <w:highlight w:val="none"/>
          <w:shd w:val="clear" w:color="auto" w:fill="auto"/>
          <w:lang w:eastAsia="zh-CN"/>
        </w:rPr>
        <w:t>平衡</w:t>
      </w:r>
      <w:r>
        <w:rPr>
          <w:rFonts w:hint="eastAsia" w:ascii="仿宋_GB2312" w:hAnsi="仿宋_GB2312" w:eastAsia="仿宋_GB2312" w:cs="仿宋_GB2312"/>
          <w:color w:val="auto"/>
          <w:sz w:val="32"/>
          <w:szCs w:val="32"/>
          <w:highlight w:val="none"/>
          <w:shd w:val="clear" w:color="auto" w:fill="auto"/>
        </w:rPr>
        <w:t>制度</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目前转移支付主要由一般性转移支付和</w:t>
      </w:r>
      <w:r>
        <w:rPr>
          <w:rFonts w:hint="eastAsia" w:ascii="仿宋_GB2312" w:hAnsi="仿宋_GB2312" w:eastAsia="仿宋_GB2312" w:cs="仿宋_GB2312"/>
          <w:color w:val="auto"/>
          <w:sz w:val="32"/>
          <w:szCs w:val="32"/>
          <w:highlight w:val="none"/>
          <w:shd w:val="clear" w:color="auto" w:fill="auto"/>
          <w:lang w:eastAsia="zh-CN"/>
        </w:rPr>
        <w:t>专</w:t>
      </w:r>
      <w:r>
        <w:rPr>
          <w:rFonts w:hint="eastAsia" w:ascii="仿宋_GB2312" w:hAnsi="仿宋_GB2312" w:eastAsia="仿宋_GB2312" w:cs="仿宋_GB2312"/>
          <w:color w:val="auto"/>
          <w:sz w:val="32"/>
          <w:szCs w:val="32"/>
          <w:highlight w:val="none"/>
          <w:shd w:val="clear" w:color="auto" w:fill="auto"/>
        </w:rPr>
        <w:t>项转移支付构成。</w:t>
      </w:r>
    </w:p>
    <w:p w14:paraId="1AD98CE2">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b/>
          <w:bCs/>
          <w:color w:val="auto"/>
          <w:sz w:val="32"/>
          <w:szCs w:val="32"/>
          <w:highlight w:val="none"/>
          <w:shd w:val="clear" w:color="auto" w:fill="auto"/>
          <w:lang w:eastAsia="zh-CN"/>
        </w:rPr>
        <w:t>一般性转移支付：</w:t>
      </w:r>
      <w:r>
        <w:rPr>
          <w:rFonts w:hint="eastAsia" w:ascii="仿宋_GB2312" w:hAnsi="仿宋_GB2312" w:eastAsia="仿宋_GB2312" w:cs="仿宋_GB2312"/>
          <w:color w:val="auto"/>
          <w:sz w:val="32"/>
          <w:szCs w:val="32"/>
          <w:highlight w:val="none"/>
          <w:shd w:val="clear" w:color="auto" w:fill="auto"/>
          <w:lang w:eastAsia="zh-CN"/>
        </w:rPr>
        <w:t>指上级政府根据依法核定的下级政府标准财政需要额与财政支出额的差量以及各地区间在人口、资源、贫富等方面存在的差别因素将其财政资金转作下级政府财政收入的一种补助形式。</w:t>
      </w:r>
    </w:p>
    <w:p w14:paraId="783B729A">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b/>
          <w:bCs/>
          <w:color w:val="auto"/>
          <w:sz w:val="32"/>
          <w:szCs w:val="32"/>
          <w:highlight w:val="none"/>
          <w:shd w:val="clear" w:color="auto" w:fill="auto"/>
          <w:lang w:eastAsia="zh-CN"/>
        </w:rPr>
        <w:t>专项转移支付：</w:t>
      </w:r>
      <w:r>
        <w:rPr>
          <w:rFonts w:hint="eastAsia" w:ascii="仿宋_GB2312" w:hAnsi="仿宋_GB2312" w:eastAsia="仿宋_GB2312" w:cs="仿宋_GB2312"/>
          <w:color w:val="auto"/>
          <w:sz w:val="32"/>
          <w:szCs w:val="32"/>
          <w:highlight w:val="none"/>
          <w:shd w:val="clear" w:color="auto" w:fill="auto"/>
          <w:lang w:eastAsia="zh-CN"/>
        </w:rPr>
        <w:t>指上级政府为实现特定政策目标补助给下级政府的专项支出，也就是通常意义上的“专款”。</w:t>
      </w:r>
    </w:p>
    <w:p w14:paraId="529ED036">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预算调整：</w:t>
      </w:r>
      <w:r>
        <w:rPr>
          <w:rFonts w:hint="eastAsia" w:ascii="仿宋_GB2312" w:hAnsi="仿宋_GB2312" w:eastAsia="仿宋_GB2312" w:cs="仿宋_GB2312"/>
          <w:color w:val="auto"/>
          <w:sz w:val="32"/>
          <w:szCs w:val="32"/>
          <w:highlight w:val="none"/>
          <w:shd w:val="clear" w:color="auto" w:fill="auto"/>
        </w:rPr>
        <w:t>是指根据</w:t>
      </w:r>
      <w:r>
        <w:rPr>
          <w:rFonts w:hint="eastAsia" w:ascii="仿宋_GB2312" w:hAnsi="仿宋_GB2312" w:eastAsia="仿宋_GB2312" w:cs="仿宋_GB2312"/>
          <w:color w:val="auto"/>
          <w:sz w:val="32"/>
          <w:szCs w:val="32"/>
          <w:highlight w:val="none"/>
          <w:shd w:val="clear" w:color="auto" w:fill="auto"/>
          <w:lang w:eastAsia="zh-CN"/>
        </w:rPr>
        <w:t>《中华人民共和国预算法》</w:t>
      </w:r>
      <w:r>
        <w:rPr>
          <w:rFonts w:hint="eastAsia" w:ascii="仿宋_GB2312" w:hAnsi="仿宋_GB2312" w:eastAsia="仿宋_GB2312" w:cs="仿宋_GB2312"/>
          <w:color w:val="auto"/>
          <w:sz w:val="32"/>
          <w:szCs w:val="32"/>
          <w:highlight w:val="none"/>
          <w:shd w:val="clear" w:color="auto" w:fill="auto"/>
        </w:rPr>
        <w:t>规定，对于年度财政体制调整等因素给预算收入带来的变化，对收入预算进行调整，并将调整情况上报人大批准。与调整预算的区别在于预算总量保持不变。</w:t>
      </w:r>
    </w:p>
    <w:p w14:paraId="5992C2A3">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lang w:eastAsia="zh-CN"/>
        </w:rPr>
        <w:t>预算</w:t>
      </w:r>
      <w:r>
        <w:rPr>
          <w:rFonts w:hint="eastAsia" w:ascii="仿宋_GB2312" w:hAnsi="仿宋_GB2312" w:eastAsia="仿宋_GB2312" w:cs="仿宋_GB2312"/>
          <w:b/>
          <w:bCs/>
          <w:color w:val="auto"/>
          <w:sz w:val="32"/>
          <w:szCs w:val="32"/>
          <w:highlight w:val="none"/>
          <w:shd w:val="clear" w:color="auto" w:fill="auto"/>
        </w:rPr>
        <w:t>稳定调节基金：</w:t>
      </w:r>
      <w:r>
        <w:rPr>
          <w:rFonts w:hint="eastAsia" w:ascii="仿宋_GB2312" w:hAnsi="仿宋_GB2312" w:eastAsia="仿宋_GB2312" w:cs="仿宋_GB2312"/>
          <w:color w:val="auto"/>
          <w:sz w:val="32"/>
          <w:szCs w:val="32"/>
          <w:highlight w:val="none"/>
          <w:shd w:val="clear" w:color="auto" w:fill="auto"/>
        </w:rPr>
        <w:t>是指财政通过超收收入和</w:t>
      </w:r>
      <w:r>
        <w:rPr>
          <w:rFonts w:hint="eastAsia" w:ascii="仿宋_GB2312" w:hAnsi="仿宋_GB2312" w:eastAsia="仿宋_GB2312" w:cs="仿宋_GB2312"/>
          <w:color w:val="auto"/>
          <w:sz w:val="32"/>
          <w:szCs w:val="32"/>
          <w:highlight w:val="none"/>
          <w:shd w:val="clear" w:color="auto" w:fill="auto"/>
          <w:lang w:eastAsia="zh-CN"/>
        </w:rPr>
        <w:t>支出</w:t>
      </w:r>
      <w:r>
        <w:rPr>
          <w:rFonts w:hint="eastAsia" w:ascii="仿宋_GB2312" w:hAnsi="仿宋_GB2312" w:eastAsia="仿宋_GB2312" w:cs="仿宋_GB2312"/>
          <w:color w:val="auto"/>
          <w:sz w:val="32"/>
          <w:szCs w:val="32"/>
          <w:highlight w:val="none"/>
          <w:shd w:val="clear" w:color="auto" w:fill="auto"/>
        </w:rPr>
        <w:t>预算结余安排的具有储备性质的基金，视预算平衡情况，在安排下年度预算时调入并安排使用，或用于弥补短收年份预算执行的</w:t>
      </w:r>
      <w:r>
        <w:rPr>
          <w:rFonts w:hint="eastAsia" w:ascii="仿宋_GB2312" w:hAnsi="仿宋_GB2312" w:eastAsia="仿宋_GB2312" w:cs="仿宋_GB2312"/>
          <w:color w:val="auto"/>
          <w:sz w:val="32"/>
          <w:szCs w:val="32"/>
          <w:highlight w:val="none"/>
          <w:shd w:val="clear" w:color="auto" w:fill="auto"/>
          <w:lang w:eastAsia="zh-CN"/>
        </w:rPr>
        <w:t>收支</w:t>
      </w:r>
      <w:r>
        <w:rPr>
          <w:rFonts w:hint="eastAsia" w:ascii="仿宋_GB2312" w:hAnsi="仿宋_GB2312" w:eastAsia="仿宋_GB2312" w:cs="仿宋_GB2312"/>
          <w:color w:val="auto"/>
          <w:sz w:val="32"/>
          <w:szCs w:val="32"/>
          <w:highlight w:val="none"/>
          <w:shd w:val="clear" w:color="auto" w:fill="auto"/>
        </w:rPr>
        <w:t>缺口，基金的安排使用接受同级人大及其常委会的监督。</w:t>
      </w:r>
    </w:p>
    <w:p w14:paraId="58F2406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地方政府</w:t>
      </w:r>
      <w:r>
        <w:rPr>
          <w:rFonts w:hint="eastAsia" w:ascii="仿宋_GB2312" w:hAnsi="仿宋_GB2312" w:eastAsia="仿宋_GB2312" w:cs="仿宋_GB2312"/>
          <w:b/>
          <w:bCs/>
          <w:color w:val="auto"/>
          <w:sz w:val="32"/>
          <w:szCs w:val="32"/>
          <w:highlight w:val="none"/>
          <w:shd w:val="clear" w:color="auto" w:fill="auto"/>
          <w:lang w:eastAsia="zh-CN"/>
        </w:rPr>
        <w:t>债券</w:t>
      </w:r>
      <w:r>
        <w:rPr>
          <w:rFonts w:hint="eastAsia" w:ascii="仿宋_GB2312" w:hAnsi="仿宋_GB2312" w:eastAsia="仿宋_GB2312" w:cs="仿宋_GB2312"/>
          <w:b/>
          <w:bCs/>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rPr>
        <w:t>是指经国务院批准同意，以省、自治区、直辖市和计划单列市政府为发行和偿还主体发行的地方政府债券，具体分为新增债券和再融资债券。</w:t>
      </w:r>
      <w:r>
        <w:rPr>
          <w:rFonts w:hint="eastAsia" w:ascii="仿宋_GB2312" w:hAnsi="仿宋_GB2312" w:eastAsia="仿宋_GB2312" w:cs="仿宋_GB2312"/>
          <w:b/>
          <w:bCs/>
          <w:color w:val="auto"/>
          <w:sz w:val="32"/>
          <w:szCs w:val="32"/>
          <w:highlight w:val="none"/>
          <w:shd w:val="clear" w:color="auto" w:fill="auto"/>
        </w:rPr>
        <w:t>新增债券</w:t>
      </w:r>
      <w:r>
        <w:rPr>
          <w:rFonts w:hint="eastAsia" w:ascii="仿宋_GB2312" w:hAnsi="仿宋_GB2312" w:eastAsia="仿宋_GB2312" w:cs="仿宋_GB2312"/>
          <w:color w:val="auto"/>
          <w:sz w:val="32"/>
          <w:szCs w:val="32"/>
          <w:highlight w:val="none"/>
          <w:shd w:val="clear" w:color="auto" w:fill="auto"/>
        </w:rPr>
        <w:t>是指由地方政府发行用于新增建设项目的债券；</w:t>
      </w:r>
      <w:r>
        <w:rPr>
          <w:rFonts w:hint="eastAsia" w:ascii="仿宋_GB2312" w:hAnsi="仿宋_GB2312" w:eastAsia="仿宋_GB2312" w:cs="仿宋_GB2312"/>
          <w:b/>
          <w:bCs/>
          <w:color w:val="auto"/>
          <w:sz w:val="32"/>
          <w:szCs w:val="32"/>
          <w:highlight w:val="none"/>
          <w:shd w:val="clear" w:color="auto" w:fill="auto"/>
        </w:rPr>
        <w:t>再融资债券</w:t>
      </w:r>
      <w:r>
        <w:rPr>
          <w:rFonts w:hint="eastAsia" w:ascii="仿宋_GB2312" w:hAnsi="仿宋_GB2312" w:eastAsia="仿宋_GB2312" w:cs="仿宋_GB2312"/>
          <w:color w:val="auto"/>
          <w:sz w:val="32"/>
          <w:szCs w:val="32"/>
          <w:highlight w:val="none"/>
          <w:shd w:val="clear" w:color="auto" w:fill="auto"/>
        </w:rPr>
        <w:t>是指由地方政府发行的债券用于偿还即将到期的地方政府债券。</w:t>
      </w:r>
    </w:p>
    <w:p w14:paraId="47688B0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b/>
          <w:bCs/>
          <w:color w:val="auto"/>
          <w:sz w:val="32"/>
          <w:szCs w:val="32"/>
          <w:highlight w:val="none"/>
          <w:shd w:val="clear" w:color="auto" w:fill="auto"/>
          <w:lang w:eastAsia="zh-CN"/>
        </w:rPr>
        <w:t>债务限额：</w:t>
      </w:r>
      <w:r>
        <w:rPr>
          <w:rFonts w:hint="eastAsia" w:ascii="仿宋_GB2312" w:hAnsi="仿宋_GB2312" w:eastAsia="仿宋_GB2312" w:cs="仿宋_GB2312"/>
          <w:color w:val="auto"/>
          <w:sz w:val="32"/>
          <w:szCs w:val="32"/>
          <w:highlight w:val="none"/>
          <w:shd w:val="clear" w:color="auto" w:fill="auto"/>
          <w:lang w:val="en-US" w:eastAsia="zh-CN"/>
        </w:rPr>
        <w:t>指对地方政府债务余额实行限额管理，年度地方债务限额等于上年地方政府债务限额加上当年新增债务限额（或减去当年调减债务限额），具体分为一般债务限额和专项债务限额。</w:t>
      </w:r>
    </w:p>
    <w:p w14:paraId="33F8A8FE">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决算：</w:t>
      </w:r>
      <w:r>
        <w:rPr>
          <w:rFonts w:hint="eastAsia" w:ascii="仿宋_GB2312" w:hAnsi="仿宋_GB2312" w:eastAsia="仿宋_GB2312" w:cs="仿宋_GB2312"/>
          <w:color w:val="auto"/>
          <w:sz w:val="32"/>
          <w:szCs w:val="32"/>
          <w:highlight w:val="none"/>
          <w:shd w:val="clear" w:color="auto" w:fill="auto"/>
        </w:rPr>
        <w:t>是指各级政府、各部门、各单位编制的经法定程序审查和批准的预算收支的年度执行结果。它反映和总结预算执行情况和结果，是社会经济活动在财政上的综合反映，是预算管理中不可缺少的环节。决算草案由各级政府、各部门、各单位在每一</w:t>
      </w:r>
      <w:r>
        <w:rPr>
          <w:rFonts w:hint="eastAsia" w:ascii="仿宋_GB2312" w:hAnsi="仿宋_GB2312" w:eastAsia="仿宋_GB2312" w:cs="仿宋_GB2312"/>
          <w:color w:val="auto"/>
          <w:sz w:val="32"/>
          <w:szCs w:val="32"/>
          <w:highlight w:val="none"/>
          <w:shd w:val="clear" w:color="auto" w:fill="auto"/>
          <w:lang w:eastAsia="zh-CN"/>
        </w:rPr>
        <w:t>预算</w:t>
      </w:r>
      <w:r>
        <w:rPr>
          <w:rFonts w:hint="eastAsia" w:ascii="仿宋_GB2312" w:hAnsi="仿宋_GB2312" w:eastAsia="仿宋_GB2312" w:cs="仿宋_GB2312"/>
          <w:color w:val="auto"/>
          <w:sz w:val="32"/>
          <w:szCs w:val="32"/>
          <w:highlight w:val="none"/>
          <w:shd w:val="clear" w:color="auto" w:fill="auto"/>
        </w:rPr>
        <w:t>年度终了后按照国务院规定的时间编制。</w:t>
      </w:r>
    </w:p>
    <w:p w14:paraId="726C999F">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b/>
          <w:bCs/>
          <w:color w:val="auto"/>
          <w:sz w:val="32"/>
          <w:szCs w:val="32"/>
          <w:highlight w:val="none"/>
          <w:shd w:val="clear" w:color="auto" w:fill="auto"/>
          <w:lang w:eastAsia="zh-CN"/>
        </w:rPr>
        <w:t>预算绩效管理：</w:t>
      </w:r>
      <w:r>
        <w:rPr>
          <w:rFonts w:hint="eastAsia" w:ascii="仿宋_GB2312" w:hAnsi="仿宋_GB2312" w:eastAsia="仿宋_GB2312" w:cs="仿宋_GB2312"/>
          <w:color w:val="auto"/>
          <w:sz w:val="32"/>
          <w:szCs w:val="32"/>
          <w:highlight w:val="none"/>
          <w:shd w:val="clear" w:color="auto" w:fill="auto"/>
          <w:lang w:eastAsia="zh-CN"/>
        </w:rPr>
        <w:t>是指以一级政府财政预算（包括收入和支出）为对象，以政府财政预算在一定时期内所达到的总体产出和结果为内容，根据设定的绩效目标，运用科学、合理的绩效评价指标、评价标准和评价方法进行客观、公正的评价，以促进政府透明、高效履职为目的所展开的绩效管理活动。</w:t>
      </w:r>
    </w:p>
    <w:p w14:paraId="58873371">
      <w:pPr>
        <w:pStyle w:val="2"/>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sz w:val="32"/>
          <w:szCs w:val="32"/>
        </w:rPr>
      </w:pPr>
    </w:p>
    <w:sectPr>
      <w:footerReference r:id="rId3" w:type="default"/>
      <w:footerReference r:id="rId4" w:type="even"/>
      <w:pgSz w:w="11906" w:h="16838"/>
      <w:pgMar w:top="1984" w:right="1587" w:bottom="1701" w:left="158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B3880">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-125095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36E47">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85pt;height:144pt;width:144pt;mso-position-horizontal:outside;mso-position-horizontal-relative:margin;mso-wrap-style:none;z-index:251659264;mso-width-relative:page;mso-height-relative:page;" filled="f" stroked="f" coordsize="21600,21600" o:gfxdata="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Xlkv/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28536E47">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9DF66">
    <w:pPr>
      <w:pStyle w:val="6"/>
      <w:framePr w:wrap="around" w:vAnchor="text" w:hAnchor="margin" w:xAlign="outside" w:y="1"/>
      <w:rPr>
        <w:rStyle w:val="23"/>
      </w:rPr>
    </w:pPr>
    <w:r>
      <w:fldChar w:fldCharType="begin"/>
    </w:r>
    <w:r>
      <w:rPr>
        <w:rStyle w:val="23"/>
      </w:rPr>
      <w:instrText xml:space="preserve">PAGE  </w:instrText>
    </w:r>
    <w:r>
      <w:fldChar w:fldCharType="separate"/>
    </w:r>
    <w:r>
      <w:rPr>
        <w:rStyle w:val="23"/>
      </w:rPr>
      <w:t>- 1 -</w:t>
    </w:r>
    <w:r>
      <w:fldChar w:fldCharType="end"/>
    </w:r>
  </w:p>
  <w:p w14:paraId="12232E8F">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attachedTemplate r:id="rId1"/>
  <w:documentProtection w:enforcement="0"/>
  <w:defaultTabStop w:val="420"/>
  <w:hyphenationZone w:val="360"/>
  <w:drawingGridHorizontalSpacing w:val="0"/>
  <w:drawingGridVerticalSpacing w:val="159"/>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jODQ3NDJiMDhkNWEzZTU4NDQ0YTFjYjBiYzgwYzEifQ=="/>
  </w:docVars>
  <w:rsids>
    <w:rsidRoot w:val="00172A27"/>
    <w:rsid w:val="001F7F7E"/>
    <w:rsid w:val="00897072"/>
    <w:rsid w:val="016853DB"/>
    <w:rsid w:val="01936A50"/>
    <w:rsid w:val="029B651C"/>
    <w:rsid w:val="02FE20CD"/>
    <w:rsid w:val="049212D0"/>
    <w:rsid w:val="05FF12E2"/>
    <w:rsid w:val="0757641B"/>
    <w:rsid w:val="0789466C"/>
    <w:rsid w:val="08F30E9A"/>
    <w:rsid w:val="090C4666"/>
    <w:rsid w:val="0D0271E7"/>
    <w:rsid w:val="0D06536D"/>
    <w:rsid w:val="0DC708B6"/>
    <w:rsid w:val="0E2F75DE"/>
    <w:rsid w:val="0EA20611"/>
    <w:rsid w:val="0FCA39E3"/>
    <w:rsid w:val="10260EB5"/>
    <w:rsid w:val="105F7FCE"/>
    <w:rsid w:val="11210BF1"/>
    <w:rsid w:val="13B862C8"/>
    <w:rsid w:val="13EB21F9"/>
    <w:rsid w:val="13FFD26D"/>
    <w:rsid w:val="153FB377"/>
    <w:rsid w:val="15C471A6"/>
    <w:rsid w:val="15C52948"/>
    <w:rsid w:val="15D2DB7A"/>
    <w:rsid w:val="16F342B3"/>
    <w:rsid w:val="171966F1"/>
    <w:rsid w:val="175DD091"/>
    <w:rsid w:val="17C910B7"/>
    <w:rsid w:val="17FF1623"/>
    <w:rsid w:val="182F038D"/>
    <w:rsid w:val="18E637EA"/>
    <w:rsid w:val="19484681"/>
    <w:rsid w:val="19C80559"/>
    <w:rsid w:val="1A857A12"/>
    <w:rsid w:val="1AF5E563"/>
    <w:rsid w:val="1AFF2429"/>
    <w:rsid w:val="1AFF3E59"/>
    <w:rsid w:val="1C9E2280"/>
    <w:rsid w:val="1CDF602F"/>
    <w:rsid w:val="1EC51FA9"/>
    <w:rsid w:val="1ECF8945"/>
    <w:rsid w:val="1EFA0A2C"/>
    <w:rsid w:val="1EFFBAEC"/>
    <w:rsid w:val="1F2D249C"/>
    <w:rsid w:val="1F320A7A"/>
    <w:rsid w:val="1FFBB5BE"/>
    <w:rsid w:val="20A642F5"/>
    <w:rsid w:val="20A91472"/>
    <w:rsid w:val="21824088"/>
    <w:rsid w:val="22C86E7E"/>
    <w:rsid w:val="268B77A0"/>
    <w:rsid w:val="276D1E86"/>
    <w:rsid w:val="27A25897"/>
    <w:rsid w:val="287F631E"/>
    <w:rsid w:val="28A450B9"/>
    <w:rsid w:val="29155FE9"/>
    <w:rsid w:val="29CF181E"/>
    <w:rsid w:val="2A2777B4"/>
    <w:rsid w:val="2A396FE5"/>
    <w:rsid w:val="2AD33150"/>
    <w:rsid w:val="2B45448D"/>
    <w:rsid w:val="2B616237"/>
    <w:rsid w:val="2B667F60"/>
    <w:rsid w:val="2C2E2107"/>
    <w:rsid w:val="2CBF3DCB"/>
    <w:rsid w:val="2CCC346A"/>
    <w:rsid w:val="2CFF066C"/>
    <w:rsid w:val="2E070A94"/>
    <w:rsid w:val="2E1F2D74"/>
    <w:rsid w:val="2E513149"/>
    <w:rsid w:val="2E7D297A"/>
    <w:rsid w:val="2EDE4A2D"/>
    <w:rsid w:val="2EFE7D27"/>
    <w:rsid w:val="2F3BB08D"/>
    <w:rsid w:val="2F5D8369"/>
    <w:rsid w:val="2F7FC245"/>
    <w:rsid w:val="2FDEA5AA"/>
    <w:rsid w:val="2FFF1B7A"/>
    <w:rsid w:val="301B57BD"/>
    <w:rsid w:val="304C1D53"/>
    <w:rsid w:val="30960D42"/>
    <w:rsid w:val="32185B7F"/>
    <w:rsid w:val="32BF1D8D"/>
    <w:rsid w:val="337F6C9D"/>
    <w:rsid w:val="33F048E5"/>
    <w:rsid w:val="33FD0883"/>
    <w:rsid w:val="34DA64C3"/>
    <w:rsid w:val="355B4063"/>
    <w:rsid w:val="359F0C3E"/>
    <w:rsid w:val="363B47F1"/>
    <w:rsid w:val="366F3BA4"/>
    <w:rsid w:val="368A23B0"/>
    <w:rsid w:val="36C56482"/>
    <w:rsid w:val="36EFDA76"/>
    <w:rsid w:val="37AD7642"/>
    <w:rsid w:val="37DDC143"/>
    <w:rsid w:val="37F9661A"/>
    <w:rsid w:val="39CFB729"/>
    <w:rsid w:val="39FD6D55"/>
    <w:rsid w:val="3B1813CF"/>
    <w:rsid w:val="3B7EBC79"/>
    <w:rsid w:val="3B8342F9"/>
    <w:rsid w:val="3BBD8841"/>
    <w:rsid w:val="3BD56B05"/>
    <w:rsid w:val="3BE69C0C"/>
    <w:rsid w:val="3BFCBF15"/>
    <w:rsid w:val="3C3176E4"/>
    <w:rsid w:val="3CBF5AD8"/>
    <w:rsid w:val="3CD56735"/>
    <w:rsid w:val="3CF52E20"/>
    <w:rsid w:val="3CFE362F"/>
    <w:rsid w:val="3DA58237"/>
    <w:rsid w:val="3DAF3C14"/>
    <w:rsid w:val="3DCFB532"/>
    <w:rsid w:val="3DFB6D84"/>
    <w:rsid w:val="3DFC7262"/>
    <w:rsid w:val="3DFD4F2B"/>
    <w:rsid w:val="3E2C4BE1"/>
    <w:rsid w:val="3E79A6DF"/>
    <w:rsid w:val="3EBF6C7C"/>
    <w:rsid w:val="3EEB16C9"/>
    <w:rsid w:val="3EF2FEB1"/>
    <w:rsid w:val="3F6E3C95"/>
    <w:rsid w:val="3F6F3FF1"/>
    <w:rsid w:val="3F772FD4"/>
    <w:rsid w:val="3FDEECD7"/>
    <w:rsid w:val="3FFB3563"/>
    <w:rsid w:val="3FFE49F6"/>
    <w:rsid w:val="3FFF768A"/>
    <w:rsid w:val="3FFFA244"/>
    <w:rsid w:val="409E2AF7"/>
    <w:rsid w:val="41967399"/>
    <w:rsid w:val="41EB2F6A"/>
    <w:rsid w:val="41FD456D"/>
    <w:rsid w:val="424E107F"/>
    <w:rsid w:val="43013D5C"/>
    <w:rsid w:val="432D21C6"/>
    <w:rsid w:val="43C55D14"/>
    <w:rsid w:val="447539A1"/>
    <w:rsid w:val="44D47F78"/>
    <w:rsid w:val="4523357B"/>
    <w:rsid w:val="45294080"/>
    <w:rsid w:val="455F5782"/>
    <w:rsid w:val="462C3A2D"/>
    <w:rsid w:val="46521A6E"/>
    <w:rsid w:val="47356D0C"/>
    <w:rsid w:val="4757648F"/>
    <w:rsid w:val="47CF84E0"/>
    <w:rsid w:val="482109E5"/>
    <w:rsid w:val="4875046F"/>
    <w:rsid w:val="494B0A69"/>
    <w:rsid w:val="49BC6207"/>
    <w:rsid w:val="4A65539B"/>
    <w:rsid w:val="4AE77F1C"/>
    <w:rsid w:val="4C6E43A4"/>
    <w:rsid w:val="4CE54D31"/>
    <w:rsid w:val="4DC20306"/>
    <w:rsid w:val="4DE9763B"/>
    <w:rsid w:val="4E320C32"/>
    <w:rsid w:val="4E611D50"/>
    <w:rsid w:val="4EAFE14B"/>
    <w:rsid w:val="4F196F13"/>
    <w:rsid w:val="4F1BB7CD"/>
    <w:rsid w:val="4F581B79"/>
    <w:rsid w:val="4F5DBD1B"/>
    <w:rsid w:val="4F7FA6CF"/>
    <w:rsid w:val="4F912E1A"/>
    <w:rsid w:val="4FBF5162"/>
    <w:rsid w:val="4FDF0BFD"/>
    <w:rsid w:val="509002B4"/>
    <w:rsid w:val="50B6517B"/>
    <w:rsid w:val="512C4DBA"/>
    <w:rsid w:val="51B20896"/>
    <w:rsid w:val="51FED7AB"/>
    <w:rsid w:val="52171E30"/>
    <w:rsid w:val="539A2935"/>
    <w:rsid w:val="54313F1A"/>
    <w:rsid w:val="547FF3C2"/>
    <w:rsid w:val="55343300"/>
    <w:rsid w:val="557E37C2"/>
    <w:rsid w:val="56496330"/>
    <w:rsid w:val="564C6D40"/>
    <w:rsid w:val="56C41E5B"/>
    <w:rsid w:val="56C63E25"/>
    <w:rsid w:val="5709115B"/>
    <w:rsid w:val="576553EC"/>
    <w:rsid w:val="57794E57"/>
    <w:rsid w:val="57AD4064"/>
    <w:rsid w:val="57CF5FF7"/>
    <w:rsid w:val="57EF3C84"/>
    <w:rsid w:val="58DA7713"/>
    <w:rsid w:val="59E54F88"/>
    <w:rsid w:val="5A3E6F7D"/>
    <w:rsid w:val="5AEB385C"/>
    <w:rsid w:val="5B78E760"/>
    <w:rsid w:val="5BD462C2"/>
    <w:rsid w:val="5CC83DC7"/>
    <w:rsid w:val="5CE53377"/>
    <w:rsid w:val="5CEE67AF"/>
    <w:rsid w:val="5CFFD09F"/>
    <w:rsid w:val="5D066D29"/>
    <w:rsid w:val="5D2276A9"/>
    <w:rsid w:val="5D881E34"/>
    <w:rsid w:val="5D9C0F89"/>
    <w:rsid w:val="5DBC72F4"/>
    <w:rsid w:val="5DF71007"/>
    <w:rsid w:val="5E5644D2"/>
    <w:rsid w:val="5EB84053"/>
    <w:rsid w:val="5EBE4E94"/>
    <w:rsid w:val="5ED79971"/>
    <w:rsid w:val="5EFA7CCD"/>
    <w:rsid w:val="5F29B245"/>
    <w:rsid w:val="5F4C0C3F"/>
    <w:rsid w:val="5F735B59"/>
    <w:rsid w:val="5FBF8E81"/>
    <w:rsid w:val="5FD18F33"/>
    <w:rsid w:val="5FEC9460"/>
    <w:rsid w:val="5FF30150"/>
    <w:rsid w:val="5FFF5738"/>
    <w:rsid w:val="60DC64E0"/>
    <w:rsid w:val="61017870"/>
    <w:rsid w:val="61EE6EF1"/>
    <w:rsid w:val="62105ED3"/>
    <w:rsid w:val="62DD4617"/>
    <w:rsid w:val="63BFD95A"/>
    <w:rsid w:val="63FFC092"/>
    <w:rsid w:val="64546A26"/>
    <w:rsid w:val="64852C29"/>
    <w:rsid w:val="651641C9"/>
    <w:rsid w:val="65D754DF"/>
    <w:rsid w:val="660E58B6"/>
    <w:rsid w:val="66504AAC"/>
    <w:rsid w:val="66EB0243"/>
    <w:rsid w:val="66F60522"/>
    <w:rsid w:val="66FFEF52"/>
    <w:rsid w:val="673E8A10"/>
    <w:rsid w:val="67731255"/>
    <w:rsid w:val="67FEFD31"/>
    <w:rsid w:val="68562439"/>
    <w:rsid w:val="687B4BF8"/>
    <w:rsid w:val="68DC48B7"/>
    <w:rsid w:val="68ED3493"/>
    <w:rsid w:val="68EF4BB6"/>
    <w:rsid w:val="6951757E"/>
    <w:rsid w:val="6A135C12"/>
    <w:rsid w:val="6A1B7B8C"/>
    <w:rsid w:val="6A260B2B"/>
    <w:rsid w:val="6A444302"/>
    <w:rsid w:val="6A7327B4"/>
    <w:rsid w:val="6AE20AD4"/>
    <w:rsid w:val="6AFF3FB3"/>
    <w:rsid w:val="6B0F2632"/>
    <w:rsid w:val="6B71377D"/>
    <w:rsid w:val="6BF709DE"/>
    <w:rsid w:val="6D1D113E"/>
    <w:rsid w:val="6D504C80"/>
    <w:rsid w:val="6D98205C"/>
    <w:rsid w:val="6DBF88F4"/>
    <w:rsid w:val="6DD625D7"/>
    <w:rsid w:val="6DFECD6C"/>
    <w:rsid w:val="6DFF7482"/>
    <w:rsid w:val="6E59A69E"/>
    <w:rsid w:val="6EA92005"/>
    <w:rsid w:val="6ECA7E4F"/>
    <w:rsid w:val="6EF8BC59"/>
    <w:rsid w:val="6F977D89"/>
    <w:rsid w:val="6F9F4234"/>
    <w:rsid w:val="6FB18902"/>
    <w:rsid w:val="6FBB27F8"/>
    <w:rsid w:val="6FD98B2E"/>
    <w:rsid w:val="6FDB028B"/>
    <w:rsid w:val="6FE8130D"/>
    <w:rsid w:val="6FF3A2C3"/>
    <w:rsid w:val="6FF78C77"/>
    <w:rsid w:val="6FFB1CE3"/>
    <w:rsid w:val="6FFF438D"/>
    <w:rsid w:val="6FFFACC8"/>
    <w:rsid w:val="704D53F5"/>
    <w:rsid w:val="71EF16CD"/>
    <w:rsid w:val="71FEDCD0"/>
    <w:rsid w:val="728D3B24"/>
    <w:rsid w:val="72EC583C"/>
    <w:rsid w:val="72F53509"/>
    <w:rsid w:val="73116F4A"/>
    <w:rsid w:val="7373F4C8"/>
    <w:rsid w:val="73F7DB67"/>
    <w:rsid w:val="74890514"/>
    <w:rsid w:val="74F49EB4"/>
    <w:rsid w:val="74F53273"/>
    <w:rsid w:val="7537E1D7"/>
    <w:rsid w:val="75785ED3"/>
    <w:rsid w:val="757DE146"/>
    <w:rsid w:val="75ED5D32"/>
    <w:rsid w:val="75EDB5E0"/>
    <w:rsid w:val="75F0310B"/>
    <w:rsid w:val="75F8F46F"/>
    <w:rsid w:val="75FECB4B"/>
    <w:rsid w:val="76097D6B"/>
    <w:rsid w:val="76564134"/>
    <w:rsid w:val="765BAA6B"/>
    <w:rsid w:val="76778E6F"/>
    <w:rsid w:val="76CF52D4"/>
    <w:rsid w:val="76EFF927"/>
    <w:rsid w:val="76F61F7B"/>
    <w:rsid w:val="76FD3B12"/>
    <w:rsid w:val="770706D4"/>
    <w:rsid w:val="7715608F"/>
    <w:rsid w:val="772F9FCE"/>
    <w:rsid w:val="774FB6C3"/>
    <w:rsid w:val="7769CA2E"/>
    <w:rsid w:val="77862AE9"/>
    <w:rsid w:val="77B6BAB9"/>
    <w:rsid w:val="77BB6F3D"/>
    <w:rsid w:val="77BD75B7"/>
    <w:rsid w:val="77BFF824"/>
    <w:rsid w:val="77DA7304"/>
    <w:rsid w:val="77E30E8B"/>
    <w:rsid w:val="77EAFD87"/>
    <w:rsid w:val="77EF1DB7"/>
    <w:rsid w:val="77F35580"/>
    <w:rsid w:val="77F7B2D8"/>
    <w:rsid w:val="77FBF80D"/>
    <w:rsid w:val="77FECBBB"/>
    <w:rsid w:val="77FF2B3E"/>
    <w:rsid w:val="785DF697"/>
    <w:rsid w:val="78DF3420"/>
    <w:rsid w:val="79BA69C4"/>
    <w:rsid w:val="79F9340C"/>
    <w:rsid w:val="79FBD9D4"/>
    <w:rsid w:val="79FDA28F"/>
    <w:rsid w:val="7A263AF5"/>
    <w:rsid w:val="7A5F12C1"/>
    <w:rsid w:val="7A7775F6"/>
    <w:rsid w:val="7A9B1F2D"/>
    <w:rsid w:val="7A9D67FD"/>
    <w:rsid w:val="7AA4BE53"/>
    <w:rsid w:val="7AB787B5"/>
    <w:rsid w:val="7B3E2A5A"/>
    <w:rsid w:val="7B8A481E"/>
    <w:rsid w:val="7BBF0138"/>
    <w:rsid w:val="7BBFEFEB"/>
    <w:rsid w:val="7BCE2384"/>
    <w:rsid w:val="7BDD4D5A"/>
    <w:rsid w:val="7BDE2379"/>
    <w:rsid w:val="7BDE2614"/>
    <w:rsid w:val="7C62DE44"/>
    <w:rsid w:val="7C965F62"/>
    <w:rsid w:val="7CA3E458"/>
    <w:rsid w:val="7CDF7C99"/>
    <w:rsid w:val="7CEBBBF9"/>
    <w:rsid w:val="7CEF1553"/>
    <w:rsid w:val="7D0D5AB6"/>
    <w:rsid w:val="7D12126F"/>
    <w:rsid w:val="7D33D030"/>
    <w:rsid w:val="7D9BAF00"/>
    <w:rsid w:val="7DBFEDAF"/>
    <w:rsid w:val="7DC350FE"/>
    <w:rsid w:val="7DEBDFBE"/>
    <w:rsid w:val="7DFF628B"/>
    <w:rsid w:val="7E5795FE"/>
    <w:rsid w:val="7E7862E4"/>
    <w:rsid w:val="7E859050"/>
    <w:rsid w:val="7E9F3673"/>
    <w:rsid w:val="7EB736AC"/>
    <w:rsid w:val="7EF35EA3"/>
    <w:rsid w:val="7EFAF087"/>
    <w:rsid w:val="7EFE5CF0"/>
    <w:rsid w:val="7F1BF72E"/>
    <w:rsid w:val="7F5F491B"/>
    <w:rsid w:val="7F67F7F7"/>
    <w:rsid w:val="7F7052A0"/>
    <w:rsid w:val="7F72CADB"/>
    <w:rsid w:val="7F7D3EBC"/>
    <w:rsid w:val="7F7D58EC"/>
    <w:rsid w:val="7F9BE0C6"/>
    <w:rsid w:val="7F9F0E08"/>
    <w:rsid w:val="7FA75CF2"/>
    <w:rsid w:val="7FAFD54B"/>
    <w:rsid w:val="7FBF3AF8"/>
    <w:rsid w:val="7FBFCEB7"/>
    <w:rsid w:val="7FD55EE8"/>
    <w:rsid w:val="7FDF77B4"/>
    <w:rsid w:val="7FE034C1"/>
    <w:rsid w:val="7FE61931"/>
    <w:rsid w:val="7FED21A0"/>
    <w:rsid w:val="7FEFAA96"/>
    <w:rsid w:val="7FEFCD7B"/>
    <w:rsid w:val="7FF713DC"/>
    <w:rsid w:val="7FF736BA"/>
    <w:rsid w:val="7FF7FA96"/>
    <w:rsid w:val="7FF9AA07"/>
    <w:rsid w:val="7FFAA4BC"/>
    <w:rsid w:val="7FFAAB4E"/>
    <w:rsid w:val="7FFE6C3E"/>
    <w:rsid w:val="7FFF64ED"/>
    <w:rsid w:val="837E1824"/>
    <w:rsid w:val="83FF6B2C"/>
    <w:rsid w:val="8A9F0CA1"/>
    <w:rsid w:val="8DFE1E7C"/>
    <w:rsid w:val="8E9EA589"/>
    <w:rsid w:val="8F8F62DD"/>
    <w:rsid w:val="93D5C4DC"/>
    <w:rsid w:val="9773EC07"/>
    <w:rsid w:val="977E5A79"/>
    <w:rsid w:val="97FA2911"/>
    <w:rsid w:val="9AFF58D1"/>
    <w:rsid w:val="9B2FF0D1"/>
    <w:rsid w:val="9C776099"/>
    <w:rsid w:val="9CEF23B2"/>
    <w:rsid w:val="9D4B5CFF"/>
    <w:rsid w:val="9E7FC897"/>
    <w:rsid w:val="9E7FDC76"/>
    <w:rsid w:val="9FFCA848"/>
    <w:rsid w:val="A67F2962"/>
    <w:rsid w:val="A7FD768B"/>
    <w:rsid w:val="A8FF26BF"/>
    <w:rsid w:val="AAD748B4"/>
    <w:rsid w:val="AD5F5AE9"/>
    <w:rsid w:val="ADE72E1D"/>
    <w:rsid w:val="ADEE128B"/>
    <w:rsid w:val="AEDC485A"/>
    <w:rsid w:val="AFFF1ECB"/>
    <w:rsid w:val="AFFF2EAF"/>
    <w:rsid w:val="B16DA104"/>
    <w:rsid w:val="B16F6065"/>
    <w:rsid w:val="B36E402B"/>
    <w:rsid w:val="B379F06C"/>
    <w:rsid w:val="B3DFEA52"/>
    <w:rsid w:val="B3FBF5DE"/>
    <w:rsid w:val="B3FED0B6"/>
    <w:rsid w:val="B3FF8D9C"/>
    <w:rsid w:val="B54D39A8"/>
    <w:rsid w:val="B6DE6428"/>
    <w:rsid w:val="B77F805D"/>
    <w:rsid w:val="B7BBBBB3"/>
    <w:rsid w:val="B7BFA752"/>
    <w:rsid w:val="B7FDDB09"/>
    <w:rsid w:val="B7FED20D"/>
    <w:rsid w:val="B9A72A1B"/>
    <w:rsid w:val="BA7B23C6"/>
    <w:rsid w:val="BAD3720A"/>
    <w:rsid w:val="BB5A7405"/>
    <w:rsid w:val="BD39B984"/>
    <w:rsid w:val="BDEF0E69"/>
    <w:rsid w:val="BE765479"/>
    <w:rsid w:val="BE7FF350"/>
    <w:rsid w:val="BEBF1BDC"/>
    <w:rsid w:val="BF1F9644"/>
    <w:rsid w:val="BF3F1C81"/>
    <w:rsid w:val="BF5FD831"/>
    <w:rsid w:val="BF95409F"/>
    <w:rsid w:val="BF9FF8DA"/>
    <w:rsid w:val="BFBF4E2F"/>
    <w:rsid w:val="BFC374BC"/>
    <w:rsid w:val="BFD1EDA2"/>
    <w:rsid w:val="BFF365AB"/>
    <w:rsid w:val="BFF59C65"/>
    <w:rsid w:val="BFF60562"/>
    <w:rsid w:val="BFFBD74B"/>
    <w:rsid w:val="BFFD8C0E"/>
    <w:rsid w:val="BFFDC24B"/>
    <w:rsid w:val="BFFF9A4F"/>
    <w:rsid w:val="C18C7773"/>
    <w:rsid w:val="C6D7658F"/>
    <w:rsid w:val="C7371527"/>
    <w:rsid w:val="C89C2A97"/>
    <w:rsid w:val="CAF39B05"/>
    <w:rsid w:val="CBED83E9"/>
    <w:rsid w:val="CCEFDC68"/>
    <w:rsid w:val="CDFF6A22"/>
    <w:rsid w:val="CFFF7263"/>
    <w:rsid w:val="D3FF0920"/>
    <w:rsid w:val="D67FB068"/>
    <w:rsid w:val="D77E7F69"/>
    <w:rsid w:val="D9AF30BE"/>
    <w:rsid w:val="DAC75DE1"/>
    <w:rsid w:val="DBBB2061"/>
    <w:rsid w:val="DD7F6CD6"/>
    <w:rsid w:val="DDE96189"/>
    <w:rsid w:val="DDF7D0EF"/>
    <w:rsid w:val="DE761BBA"/>
    <w:rsid w:val="DEBF249D"/>
    <w:rsid w:val="DEEF97B7"/>
    <w:rsid w:val="DF5D04AA"/>
    <w:rsid w:val="DF87010E"/>
    <w:rsid w:val="DFBF35DC"/>
    <w:rsid w:val="DFE3B31F"/>
    <w:rsid w:val="DFE7FEF5"/>
    <w:rsid w:val="DFEFD79F"/>
    <w:rsid w:val="DFEFF618"/>
    <w:rsid w:val="DFF7E9E8"/>
    <w:rsid w:val="DFFF06C4"/>
    <w:rsid w:val="E2E64D78"/>
    <w:rsid w:val="E3FF701E"/>
    <w:rsid w:val="E4FCDBFE"/>
    <w:rsid w:val="E5FF032F"/>
    <w:rsid w:val="E62EA39F"/>
    <w:rsid w:val="E6F4EB02"/>
    <w:rsid w:val="E6FBC28C"/>
    <w:rsid w:val="E76AF4B5"/>
    <w:rsid w:val="E77FF266"/>
    <w:rsid w:val="E7EF5F67"/>
    <w:rsid w:val="E7F830AB"/>
    <w:rsid w:val="E7FF1C2F"/>
    <w:rsid w:val="E7FF958A"/>
    <w:rsid w:val="E87D7370"/>
    <w:rsid w:val="E9F71EFB"/>
    <w:rsid w:val="EAAFCA68"/>
    <w:rsid w:val="EAD51A2A"/>
    <w:rsid w:val="EB5F38EE"/>
    <w:rsid w:val="EBE91DC1"/>
    <w:rsid w:val="EBEE419A"/>
    <w:rsid w:val="EBF7A4D7"/>
    <w:rsid w:val="ECAE8611"/>
    <w:rsid w:val="ECBFC7BF"/>
    <w:rsid w:val="ED9FAF1A"/>
    <w:rsid w:val="EDADEE60"/>
    <w:rsid w:val="EDDF2FA1"/>
    <w:rsid w:val="EDFF6F50"/>
    <w:rsid w:val="EEABD2C9"/>
    <w:rsid w:val="EED97535"/>
    <w:rsid w:val="EEDF7236"/>
    <w:rsid w:val="EEF72B3C"/>
    <w:rsid w:val="EF7BA370"/>
    <w:rsid w:val="EF974192"/>
    <w:rsid w:val="EFB58249"/>
    <w:rsid w:val="EFEA1DFE"/>
    <w:rsid w:val="EFFD3058"/>
    <w:rsid w:val="EFFE4BC4"/>
    <w:rsid w:val="EFFE7D51"/>
    <w:rsid w:val="EFFE8EED"/>
    <w:rsid w:val="EFFF1392"/>
    <w:rsid w:val="EFFFFA8E"/>
    <w:rsid w:val="F0EDB1FC"/>
    <w:rsid w:val="F27B7DEB"/>
    <w:rsid w:val="F38D895D"/>
    <w:rsid w:val="F3BBFF03"/>
    <w:rsid w:val="F4FBCEAA"/>
    <w:rsid w:val="F4FF0C96"/>
    <w:rsid w:val="F5FD7913"/>
    <w:rsid w:val="F5FE5455"/>
    <w:rsid w:val="F63C0A6D"/>
    <w:rsid w:val="F63DCD71"/>
    <w:rsid w:val="F6B6FA31"/>
    <w:rsid w:val="F6F79E06"/>
    <w:rsid w:val="F6FBD256"/>
    <w:rsid w:val="F6FF38F8"/>
    <w:rsid w:val="F7560F85"/>
    <w:rsid w:val="F77BBF5D"/>
    <w:rsid w:val="F77FC0B5"/>
    <w:rsid w:val="F7DD4C45"/>
    <w:rsid w:val="F7FD5A82"/>
    <w:rsid w:val="F7FFA09D"/>
    <w:rsid w:val="F8F747BA"/>
    <w:rsid w:val="F93FBCCA"/>
    <w:rsid w:val="F949FEA1"/>
    <w:rsid w:val="F98F6939"/>
    <w:rsid w:val="F9BFC0B2"/>
    <w:rsid w:val="F9CF8CB2"/>
    <w:rsid w:val="F9FC2452"/>
    <w:rsid w:val="F9FF23A7"/>
    <w:rsid w:val="FA3B2FFF"/>
    <w:rsid w:val="FA5DA317"/>
    <w:rsid w:val="FAEA5B4B"/>
    <w:rsid w:val="FAF41D82"/>
    <w:rsid w:val="FAFF753D"/>
    <w:rsid w:val="FB3BD7B7"/>
    <w:rsid w:val="FB6E079A"/>
    <w:rsid w:val="FB7DED28"/>
    <w:rsid w:val="FB7E255A"/>
    <w:rsid w:val="FB9FC201"/>
    <w:rsid w:val="FBA73986"/>
    <w:rsid w:val="FBDF4CF2"/>
    <w:rsid w:val="FBF9566C"/>
    <w:rsid w:val="FBFFC0AA"/>
    <w:rsid w:val="FBFFCAAE"/>
    <w:rsid w:val="FC7E13C4"/>
    <w:rsid w:val="FCB907FD"/>
    <w:rsid w:val="FCFDDEDD"/>
    <w:rsid w:val="FD338641"/>
    <w:rsid w:val="FD628D8C"/>
    <w:rsid w:val="FD76EACF"/>
    <w:rsid w:val="FD783561"/>
    <w:rsid w:val="FD7EA2BE"/>
    <w:rsid w:val="FDAB7439"/>
    <w:rsid w:val="FDABA8D4"/>
    <w:rsid w:val="FDB398D7"/>
    <w:rsid w:val="FDDF2C3D"/>
    <w:rsid w:val="FDEF5EC5"/>
    <w:rsid w:val="FDF1D54C"/>
    <w:rsid w:val="FDF4D829"/>
    <w:rsid w:val="FDF705F4"/>
    <w:rsid w:val="FDFAC1A9"/>
    <w:rsid w:val="FDFDBD3D"/>
    <w:rsid w:val="FE6B5E15"/>
    <w:rsid w:val="FE734873"/>
    <w:rsid w:val="FE7EC49E"/>
    <w:rsid w:val="FE9A2EC2"/>
    <w:rsid w:val="FE9CF951"/>
    <w:rsid w:val="FE9F38E0"/>
    <w:rsid w:val="FEBE5368"/>
    <w:rsid w:val="FEFDD886"/>
    <w:rsid w:val="FEFE1EB8"/>
    <w:rsid w:val="FF1D08C5"/>
    <w:rsid w:val="FF667F35"/>
    <w:rsid w:val="FF6782B7"/>
    <w:rsid w:val="FF7C85D8"/>
    <w:rsid w:val="FF7D5852"/>
    <w:rsid w:val="FF7F604E"/>
    <w:rsid w:val="FF7FC6A4"/>
    <w:rsid w:val="FF978914"/>
    <w:rsid w:val="FFAB8EDC"/>
    <w:rsid w:val="FFAFDFCC"/>
    <w:rsid w:val="FFB1E07A"/>
    <w:rsid w:val="FFBB3DED"/>
    <w:rsid w:val="FFBF13A9"/>
    <w:rsid w:val="FFBFC159"/>
    <w:rsid w:val="FFC79AE6"/>
    <w:rsid w:val="FFCF3716"/>
    <w:rsid w:val="FFDC2081"/>
    <w:rsid w:val="FFDD8BCD"/>
    <w:rsid w:val="FFDF30E1"/>
    <w:rsid w:val="FFE3B823"/>
    <w:rsid w:val="FFEB4176"/>
    <w:rsid w:val="FFEE1406"/>
    <w:rsid w:val="FFEF45AC"/>
    <w:rsid w:val="FFEF799C"/>
    <w:rsid w:val="FFF40948"/>
    <w:rsid w:val="FFF7C4DA"/>
    <w:rsid w:val="FFF7D3E2"/>
    <w:rsid w:val="FFFBBED7"/>
    <w:rsid w:val="FFFDFA9B"/>
    <w:rsid w:val="FFFE7443"/>
    <w:rsid w:val="FFFF1724"/>
    <w:rsid w:val="FFFF5C9B"/>
    <w:rsid w:val="FFFF68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2"/>
    <w:basedOn w:val="4"/>
    <w:next w:val="2"/>
    <w:qFormat/>
    <w:uiPriority w:val="0"/>
    <w:pPr>
      <w:spacing w:after="120"/>
      <w:ind w:left="200" w:leftChars="200" w:firstLine="420" w:firstLineChars="200"/>
    </w:pPr>
    <w:rPr>
      <w:rFonts w:ascii="Times New Roman"/>
    </w:rPr>
  </w:style>
  <w:style w:type="paragraph" w:styleId="4">
    <w:name w:val="Body Text Indent"/>
    <w:basedOn w:val="1"/>
    <w:next w:val="1"/>
    <w:qFormat/>
    <w:uiPriority w:val="0"/>
    <w:pPr>
      <w:spacing w:after="120" w:afterLines="0"/>
      <w:ind w:left="420" w:leftChars="200"/>
    </w:pPr>
  </w:style>
  <w:style w:type="paragraph" w:styleId="5">
    <w:name w:val="Balloon Text"/>
    <w:basedOn w:val="1"/>
    <w:semiHidden/>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rFonts w:cs="Times New Roman"/>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8">
    <w:name w:val="footnote text"/>
    <w:basedOn w:val="1"/>
    <w:next w:val="9"/>
    <w:qFormat/>
    <w:uiPriority w:val="0"/>
    <w:pPr>
      <w:snapToGrid w:val="0"/>
      <w:jc w:val="left"/>
    </w:pPr>
    <w:rPr>
      <w:sz w:val="18"/>
      <w:szCs w:val="18"/>
    </w:rPr>
  </w:style>
  <w:style w:type="paragraph" w:customStyle="1" w:styleId="9">
    <w:name w:val="正文首行缩进 21"/>
    <w:basedOn w:val="10"/>
    <w:qFormat/>
    <w:uiPriority w:val="0"/>
    <w:pPr>
      <w:ind w:firstLine="420" w:firstLineChars="200"/>
    </w:pPr>
  </w:style>
  <w:style w:type="paragraph" w:customStyle="1" w:styleId="10">
    <w:name w:val="正文文本缩进1"/>
    <w:basedOn w:val="1"/>
    <w:qFormat/>
    <w:uiPriority w:val="0"/>
    <w:pPr>
      <w:ind w:left="420" w:leftChars="200"/>
    </w:pPr>
  </w:style>
  <w:style w:type="paragraph" w:styleId="11">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character" w:styleId="14">
    <w:name w:val="Strong"/>
    <w:basedOn w:val="13"/>
    <w:qFormat/>
    <w:uiPriority w:val="22"/>
    <w:rPr>
      <w:b/>
    </w:rPr>
  </w:style>
  <w:style w:type="character" w:styleId="15">
    <w:name w:val="page number"/>
    <w:basedOn w:val="13"/>
    <w:qFormat/>
    <w:uiPriority w:val="0"/>
    <w:rPr>
      <w:rFonts w:cs="Times New Roman"/>
    </w:rPr>
  </w:style>
  <w:style w:type="paragraph" w:customStyle="1" w:styleId="16">
    <w:name w:val="Normal Indent1"/>
    <w:basedOn w:val="1"/>
    <w:qFormat/>
    <w:uiPriority w:val="0"/>
    <w:pPr>
      <w:ind w:firstLine="420"/>
    </w:pPr>
    <w:rPr>
      <w:rFonts w:eastAsia="宋体"/>
      <w:sz w:val="21"/>
      <w:szCs w:val="20"/>
    </w:rPr>
  </w:style>
  <w:style w:type="character" w:customStyle="1" w:styleId="17">
    <w:name w:val="页脚 Char Char"/>
    <w:link w:val="6"/>
    <w:qFormat/>
    <w:uiPriority w:val="0"/>
    <w:rPr>
      <w:rFonts w:cs="Times New Roman"/>
      <w:sz w:val="18"/>
      <w:szCs w:val="18"/>
    </w:rPr>
  </w:style>
  <w:style w:type="character" w:customStyle="1" w:styleId="18">
    <w:name w:val="页眉 Char Char"/>
    <w:link w:val="7"/>
    <w:qFormat/>
    <w:uiPriority w:val="0"/>
    <w:rPr>
      <w:rFonts w:cs="Times New Roman"/>
      <w:sz w:val="18"/>
      <w:szCs w:val="18"/>
    </w:rPr>
  </w:style>
  <w:style w:type="character" w:customStyle="1" w:styleId="19">
    <w:name w:val="Document Map Char Char"/>
    <w:link w:val="20"/>
    <w:qFormat/>
    <w:uiPriority w:val="0"/>
    <w:rPr>
      <w:rFonts w:cs="Times New Roman"/>
      <w:sz w:val="2"/>
    </w:rPr>
  </w:style>
  <w:style w:type="paragraph" w:customStyle="1" w:styleId="20">
    <w:name w:val="Document Map"/>
    <w:basedOn w:val="1"/>
    <w:link w:val="19"/>
    <w:qFormat/>
    <w:uiPriority w:val="0"/>
    <w:pPr>
      <w:shd w:val="clear" w:color="auto" w:fill="000080"/>
    </w:pPr>
    <w:rPr>
      <w:rFonts w:cs="Times New Roman"/>
      <w:sz w:val="2"/>
    </w:rPr>
  </w:style>
  <w:style w:type="character" w:customStyle="1" w:styleId="21">
    <w:name w:val="Body Text Indent Char Char"/>
    <w:link w:val="22"/>
    <w:qFormat/>
    <w:uiPriority w:val="0"/>
    <w:rPr>
      <w:rFonts w:ascii="Calibri" w:hAnsi="Calibri" w:eastAsia="宋体" w:cs="Calibri"/>
      <w:sz w:val="21"/>
      <w:lang w:val="en-US" w:eastAsia="zh-CN"/>
    </w:rPr>
  </w:style>
  <w:style w:type="paragraph" w:customStyle="1" w:styleId="22">
    <w:name w:val="Body Text Indent"/>
    <w:basedOn w:val="1"/>
    <w:link w:val="21"/>
    <w:qFormat/>
    <w:uiPriority w:val="0"/>
    <w:pPr>
      <w:spacing w:after="120" w:afterLines="0"/>
      <w:ind w:left="420" w:leftChars="200"/>
    </w:pPr>
    <w:rPr>
      <w:rFonts w:ascii="Calibri" w:hAnsi="Calibri" w:eastAsia="宋体" w:cs="Calibri"/>
      <w:sz w:val="21"/>
      <w:lang w:val="en-US" w:eastAsia="zh-CN"/>
    </w:rPr>
  </w:style>
  <w:style w:type="character" w:customStyle="1" w:styleId="23">
    <w:name w:val="page number"/>
    <w:qFormat/>
    <w:uiPriority w:val="0"/>
    <w:rPr>
      <w:rFonts w:cs="Times New Roman"/>
    </w:rPr>
  </w:style>
  <w:style w:type="paragraph" w:customStyle="1" w:styleId="24">
    <w:name w:val="Char Char Char"/>
    <w:basedOn w:val="20"/>
    <w:qFormat/>
    <w:uiPriority w:val="0"/>
    <w:pPr>
      <w:spacing w:line="436" w:lineRule="exact"/>
    </w:pPr>
    <w:rPr>
      <w:rFonts w:ascii="Times New Roman" w:hAnsi="Times New Roman" w:eastAsia="仿宋_GB2312"/>
      <w:sz w:val="32"/>
      <w:szCs w:val="32"/>
    </w:rPr>
  </w:style>
  <w:style w:type="paragraph" w:customStyle="1" w:styleId="25">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6">
    <w:name w:val="Body text|1"/>
    <w:basedOn w:val="1"/>
    <w:qFormat/>
    <w:uiPriority w:val="0"/>
    <w:pPr>
      <w:spacing w:line="403" w:lineRule="auto"/>
      <w:ind w:firstLine="400"/>
    </w:pPr>
    <w:rPr>
      <w:rFonts w:ascii="宋体" w:hAnsi="宋体" w:eastAsia="宋体" w:cs="宋体"/>
      <w:color w:val="auto"/>
      <w:kern w:val="2"/>
      <w:sz w:val="32"/>
      <w:szCs w:val="32"/>
      <w:lang w:val="zh-TW" w:eastAsia="zh-TW" w:bidi="zh-TW"/>
    </w:rPr>
  </w:style>
  <w:style w:type="paragraph" w:customStyle="1" w:styleId="27">
    <w:name w:val="Char"/>
    <w:basedOn w:val="1"/>
    <w:qFormat/>
    <w:uiPriority w:val="0"/>
    <w:rPr>
      <w:rFonts w:ascii="Times New Roman" w:hAnsi="Times New Roman"/>
      <w:szCs w:val="24"/>
    </w:rPr>
  </w:style>
  <w:style w:type="paragraph" w:customStyle="1" w:styleId="28">
    <w:name w:val="Default"/>
    <w:basedOn w:val="1"/>
    <w:qFormat/>
    <w:uiPriority w:val="0"/>
    <w:pPr>
      <w:autoSpaceDE w:val="0"/>
      <w:autoSpaceDN w:val="0"/>
      <w:adjustRightInd w:val="0"/>
      <w:jc w:val="left"/>
    </w:pPr>
    <w:rPr>
      <w:rFonts w:ascii="Calibri" w:hAnsi="Calibri"/>
      <w:color w:val="000000"/>
      <w:kern w:val="0"/>
      <w:sz w:val="24"/>
    </w:rPr>
  </w:style>
  <w:style w:type="paragraph" w:customStyle="1" w:styleId="29">
    <w:name w:val="正文缩进1"/>
    <w:basedOn w:val="1"/>
    <w:qFormat/>
    <w:uiPriority w:val="0"/>
    <w:pPr>
      <w:ind w:firstLine="200" w:firstLineChars="200"/>
    </w:pPr>
  </w:style>
  <w:style w:type="character" w:customStyle="1" w:styleId="30">
    <w:name w:val="页码1"/>
    <w:qFormat/>
    <w:uiPriority w:val="0"/>
    <w:rPr>
      <w:rFonts w:cs="Times New Roman"/>
    </w:rPr>
  </w:style>
  <w:style w:type="paragraph" w:customStyle="1" w:styleId="31">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kylin\C:\home\cyq\H:\home\may\C:\Users\Administrator\Desktop\Normal_Wordconv"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Lenovo</Company>
  <Pages>18</Pages>
  <Words>9446</Words>
  <Characters>10045</Characters>
  <Lines>47</Lines>
  <Paragraphs>13</Paragraphs>
  <TotalTime>15</TotalTime>
  <ScaleCrop>false</ScaleCrop>
  <LinksUpToDate>false</LinksUpToDate>
  <CharactersWithSpaces>10049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2019-02-02T19:56:00Z</dcterms:created>
  <dc:creator>kylin</dc:creator>
  <cp:lastModifiedBy>恪楛</cp:lastModifiedBy>
  <cp:lastPrinted>2026-01-07T06:24:43Z</cp:lastPrinted>
  <dcterms:modified xsi:type="dcterms:W3CDTF">2026-01-07T07:06:06Z</dcterms:modified>
  <dc:title>User</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120F6C5890D4D1A30C36356954034968</vt:lpwstr>
  </property>
  <property fmtid="{D5CDD505-2E9C-101B-9397-08002B2CF9AE}" pid="4" name="KSOTemplateDocerSaveRecord">
    <vt:lpwstr>eyJoZGlkIjoiMTg4M2FjYTE1YzY5N2E5NjVjNjE1ZmI2NzYwMmRmYWUiLCJ1c2VySWQiOiIxNTUzNTAwODIzIn0=</vt:lpwstr>
  </property>
</Properties>
</file>