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附件1</w:t>
      </w:r>
    </w:p>
    <w:p>
      <w:pPr>
        <w:spacing w:line="640" w:lineRule="exact"/>
        <w:jc w:val="left"/>
        <w:rPr>
          <w:rFonts w:hint="eastAsia" w:ascii="黑体" w:hAnsi="黑体" w:eastAsia="黑体" w:cs="黑体"/>
          <w:sz w:val="32"/>
          <w:szCs w:val="32"/>
        </w:rPr>
      </w:pPr>
    </w:p>
    <w:p>
      <w:pPr>
        <w:spacing w:line="64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lang w:eastAsia="zh-CN"/>
        </w:rPr>
        <w:t>202</w:t>
      </w:r>
      <w:r>
        <w:rPr>
          <w:rFonts w:hint="eastAsia" w:ascii="方正小标宋简体" w:hAnsi="方正小标宋简体" w:eastAsia="方正小标宋简体"/>
          <w:sz w:val="44"/>
          <w:lang w:val="en-US" w:eastAsia="zh-CN"/>
        </w:rPr>
        <w:t>2</w:t>
      </w:r>
      <w:r>
        <w:rPr>
          <w:rFonts w:hint="eastAsia" w:ascii="方正小标宋简体" w:hAnsi="方正小标宋简体" w:eastAsia="方正小标宋简体"/>
          <w:sz w:val="44"/>
        </w:rPr>
        <w:t>年度部门决算公开备案表</w:t>
      </w:r>
    </w:p>
    <w:tbl>
      <w:tblPr>
        <w:tblStyle w:val="5"/>
        <w:tblW w:w="8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6"/>
        <w:gridCol w:w="2915"/>
        <w:gridCol w:w="1001"/>
        <w:gridCol w:w="315"/>
        <w:gridCol w:w="3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Align w:val="center"/>
          </w:tcPr>
          <w:p>
            <w:pPr>
              <w:autoSpaceDN w:val="0"/>
              <w:jc w:val="left"/>
              <w:textAlignment w:val="center"/>
              <w:rPr>
                <w:rFonts w:hint="eastAsia"/>
                <w:color w:val="000000"/>
              </w:rPr>
            </w:pPr>
          </w:p>
        </w:tc>
        <w:tc>
          <w:tcPr>
            <w:tcW w:w="2915" w:type="dxa"/>
            <w:vAlign w:val="center"/>
          </w:tcPr>
          <w:p>
            <w:pPr>
              <w:autoSpaceDN w:val="0"/>
              <w:jc w:val="left"/>
              <w:textAlignment w:val="center"/>
              <w:rPr>
                <w:rFonts w:hint="eastAsia"/>
                <w:color w:val="000000"/>
              </w:rPr>
            </w:pPr>
          </w:p>
        </w:tc>
        <w:tc>
          <w:tcPr>
            <w:tcW w:w="4720" w:type="dxa"/>
            <w:gridSpan w:val="3"/>
            <w:vAlign w:val="center"/>
          </w:tcPr>
          <w:p>
            <w:pPr>
              <w:autoSpaceDN w:val="0"/>
              <w:jc w:val="right"/>
              <w:textAlignment w:val="center"/>
              <w:rPr>
                <w:rFonts w:hint="eastAsia"/>
                <w:color w:val="000000"/>
              </w:rPr>
            </w:pPr>
            <w:r>
              <w:rPr>
                <w:rFonts w:hint="eastAsia" w:ascii="宋体" w:hAnsi="宋体"/>
                <w:color w:val="000000"/>
              </w:rPr>
              <w:t>填表日期：202</w:t>
            </w:r>
            <w:r>
              <w:rPr>
                <w:rFonts w:hint="eastAsia" w:ascii="宋体" w:hAnsi="宋体"/>
                <w:color w:val="000000"/>
                <w:lang w:val="en-US" w:eastAsia="zh-CN"/>
              </w:rPr>
              <w:t>3</w:t>
            </w:r>
            <w:r>
              <w:rPr>
                <w:rFonts w:hint="eastAsia" w:ascii="宋体" w:hAnsi="宋体"/>
                <w:color w:val="000000"/>
              </w:rPr>
              <w:t>年</w:t>
            </w:r>
            <w:r>
              <w:rPr>
                <w:rFonts w:hint="eastAsia" w:ascii="宋体" w:hAnsi="宋体"/>
                <w:color w:val="000000"/>
                <w:lang w:val="en-US" w:eastAsia="zh-CN"/>
              </w:rPr>
              <w:t>9</w:t>
            </w:r>
            <w:r>
              <w:rPr>
                <w:rFonts w:hint="eastAsia" w:ascii="宋体" w:hAnsi="宋体"/>
                <w:color w:val="000000"/>
              </w:rPr>
              <w:t>月</w:t>
            </w:r>
            <w:r>
              <w:rPr>
                <w:rFonts w:hint="eastAsia" w:ascii="宋体" w:hAnsi="宋体"/>
                <w:color w:val="000000"/>
                <w:lang w:val="en-US" w:eastAsia="zh-CN"/>
              </w:rPr>
              <w:t>26</w:t>
            </w:r>
            <w:r>
              <w:rPr>
                <w:rFonts w:hint="eastAsia" w:ascii="宋体" w:hAnsi="宋体"/>
                <w:color w:val="00000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110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公开单位</w:t>
            </w:r>
          </w:p>
        </w:tc>
        <w:tc>
          <w:tcPr>
            <w:tcW w:w="291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eastAsia="宋体"/>
                <w:color w:val="000000"/>
                <w:lang w:val="en-US" w:eastAsia="zh-CN"/>
              </w:rPr>
            </w:pPr>
            <w:r>
              <w:rPr>
                <w:rFonts w:hint="eastAsia"/>
                <w:color w:val="000000"/>
                <w:lang w:val="en-US" w:eastAsia="zh-CN"/>
              </w:rPr>
              <w:t>永宁县社会保险事业管理中心</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公开时间</w:t>
            </w:r>
          </w:p>
        </w:tc>
        <w:tc>
          <w:tcPr>
            <w:tcW w:w="340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eastAsia="宋体"/>
                <w:color w:val="000000"/>
                <w:lang w:val="en-US" w:eastAsia="zh-CN"/>
              </w:rPr>
            </w:pPr>
            <w:r>
              <w:rPr>
                <w:rFonts w:hint="eastAsia"/>
                <w:color w:val="000000"/>
                <w:lang w:val="en-US" w:eastAsia="zh-CN"/>
              </w:rPr>
              <w:t>2023.9.26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公开依据</w:t>
            </w: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1</w:t>
            </w:r>
            <w:r>
              <w:rPr>
                <w:rFonts w:hint="eastAsia"/>
                <w:color w:val="000000"/>
              </w:rPr>
              <w:t>.</w:t>
            </w:r>
            <w:r>
              <w:rPr>
                <w:rFonts w:hint="eastAsia" w:ascii="宋体" w:hAnsi="宋体"/>
                <w:color w:val="000000"/>
              </w:rPr>
              <w:t>中华人民共和国预算法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2</w:t>
            </w:r>
            <w:r>
              <w:rPr>
                <w:rFonts w:hint="eastAsia"/>
                <w:color w:val="000000"/>
              </w:rPr>
              <w:t>.</w:t>
            </w:r>
            <w:r>
              <w:rPr>
                <w:rFonts w:hint="eastAsia" w:ascii="宋体" w:hAnsi="宋体"/>
                <w:color w:val="000000"/>
              </w:rPr>
              <w:t>财政部关于印发《地方预决算公开操作规程》的通知（财预[2016]143号）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ascii="宋体" w:hAnsi="宋体"/>
                <w:color w:val="000000"/>
                <w:szCs w:val="21"/>
              </w:rPr>
            </w:pPr>
            <w:r>
              <w:rPr>
                <w:rFonts w:hint="eastAsia" w:ascii="宋体" w:hAnsi="宋体" w:cs="宋体"/>
                <w:szCs w:val="21"/>
              </w:rPr>
              <w:t>3.</w:t>
            </w:r>
            <w:r>
              <w:rPr>
                <w:rFonts w:hint="eastAsia" w:ascii="宋体" w:hAnsi="宋体"/>
                <w:color w:val="000000"/>
              </w:rPr>
              <w:t>《</w:t>
            </w:r>
            <w:r>
              <w:rPr>
                <w:rFonts w:hint="eastAsia" w:ascii="宋体" w:hAnsi="宋体"/>
                <w:color w:val="000000"/>
                <w:lang w:eastAsia="zh-CN"/>
              </w:rPr>
              <w:t>国务院关于进一步深化预算管理制度改革的意见</w:t>
            </w:r>
            <w:r>
              <w:rPr>
                <w:rFonts w:hint="eastAsia" w:ascii="宋体" w:hAnsi="宋体" w:cs="宋体"/>
                <w:szCs w:val="21"/>
              </w:rPr>
              <w:t>》（</w:t>
            </w:r>
            <w:r>
              <w:rPr>
                <w:rFonts w:hint="eastAsia" w:ascii="宋体" w:hAnsi="宋体" w:cs="宋体"/>
                <w:szCs w:val="21"/>
                <w:lang w:eastAsia="zh-CN"/>
              </w:rPr>
              <w:t>国发</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left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4</w:t>
            </w:r>
            <w:r>
              <w:rPr>
                <w:rFonts w:hint="eastAsia"/>
                <w:color w:val="000000"/>
              </w:rPr>
              <w:t>.</w:t>
            </w:r>
            <w:r>
              <w:rPr>
                <w:rFonts w:hint="eastAsia" w:ascii="宋体" w:hAnsi="宋体"/>
                <w:color w:val="000000"/>
              </w:rPr>
              <w:t>自治区党委办公厅、政府办公厅印发&lt;关于深入推进全区预决算公开工作的意见&gt;的通知 （宁党办发[2016]54号）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公开内容</w:t>
            </w: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1</w:t>
            </w:r>
            <w:r>
              <w:rPr>
                <w:rFonts w:hint="eastAsia"/>
                <w:color w:val="000000"/>
              </w:rPr>
              <w:t>.</w:t>
            </w:r>
            <w:r>
              <w:rPr>
                <w:rFonts w:hint="eastAsia" w:ascii="宋体" w:hAnsi="宋体"/>
                <w:color w:val="000000"/>
              </w:rPr>
              <w:t>收入支出决算总表（公开01表）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2</w:t>
            </w:r>
            <w:r>
              <w:rPr>
                <w:rFonts w:hint="eastAsia"/>
                <w:color w:val="000000"/>
              </w:rPr>
              <w:t>.</w:t>
            </w:r>
            <w:r>
              <w:rPr>
                <w:rFonts w:hint="eastAsia" w:ascii="宋体" w:hAnsi="宋体"/>
                <w:color w:val="000000"/>
              </w:rPr>
              <w:t>收入决算表（公开02表）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3</w:t>
            </w:r>
            <w:r>
              <w:rPr>
                <w:rFonts w:hint="eastAsia"/>
                <w:color w:val="000000"/>
              </w:rPr>
              <w:t>.</w:t>
            </w:r>
            <w:r>
              <w:rPr>
                <w:rFonts w:hint="eastAsia" w:ascii="宋体" w:hAnsi="宋体"/>
                <w:color w:val="000000"/>
              </w:rPr>
              <w:t>支出决算表（公开03表）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4</w:t>
            </w:r>
            <w:r>
              <w:rPr>
                <w:rFonts w:hint="eastAsia"/>
                <w:color w:val="000000"/>
              </w:rPr>
              <w:t>.</w:t>
            </w:r>
            <w:r>
              <w:rPr>
                <w:rFonts w:hint="eastAsia" w:ascii="宋体" w:hAnsi="宋体"/>
                <w:color w:val="000000"/>
              </w:rPr>
              <w:t>财政拨款收入支出决算总表（公开04表）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5</w:t>
            </w:r>
            <w:r>
              <w:rPr>
                <w:rFonts w:hint="eastAsia"/>
                <w:color w:val="000000"/>
              </w:rPr>
              <w:t>.</w:t>
            </w:r>
            <w:r>
              <w:rPr>
                <w:rFonts w:hint="eastAsia" w:ascii="宋体" w:hAnsi="宋体"/>
                <w:color w:val="000000"/>
              </w:rPr>
              <w:t>一般公共预算财政拨款支出决算表（公开05表）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6</w:t>
            </w:r>
            <w:r>
              <w:rPr>
                <w:rFonts w:hint="eastAsia"/>
                <w:color w:val="000000"/>
              </w:rPr>
              <w:t>.</w:t>
            </w:r>
            <w:r>
              <w:rPr>
                <w:rFonts w:hint="eastAsia" w:ascii="宋体" w:hAnsi="宋体"/>
                <w:color w:val="000000"/>
              </w:rPr>
              <w:t>一般公共预算财政拨款基本支出决算表（公开06表）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7</w:t>
            </w:r>
            <w:r>
              <w:rPr>
                <w:rFonts w:hint="eastAsia"/>
                <w:color w:val="000000"/>
              </w:rPr>
              <w:t>.</w:t>
            </w:r>
            <w:r>
              <w:rPr>
                <w:rFonts w:hint="eastAsia" w:ascii="宋体" w:hAnsi="宋体"/>
                <w:color w:val="000000"/>
              </w:rPr>
              <w:t>财政拨款</w:t>
            </w:r>
            <w:r>
              <w:rPr>
                <w:rFonts w:hint="eastAsia"/>
                <w:color w:val="000000"/>
              </w:rPr>
              <w:t>“</w:t>
            </w:r>
            <w:r>
              <w:rPr>
                <w:rFonts w:hint="eastAsia" w:ascii="宋体" w:hAnsi="宋体"/>
                <w:color w:val="000000"/>
              </w:rPr>
              <w:t>三公</w:t>
            </w:r>
            <w:r>
              <w:rPr>
                <w:rFonts w:hint="eastAsia"/>
                <w:color w:val="000000"/>
              </w:rPr>
              <w:t>”</w:t>
            </w:r>
            <w:r>
              <w:rPr>
                <w:rFonts w:hint="eastAsia" w:ascii="宋体" w:hAnsi="宋体"/>
                <w:color w:val="000000"/>
              </w:rPr>
              <w:t>经费支出决算表（公开07表）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8</w:t>
            </w:r>
            <w:r>
              <w:rPr>
                <w:rFonts w:hint="eastAsia"/>
                <w:color w:val="000000"/>
              </w:rPr>
              <w:t>.</w:t>
            </w:r>
            <w:r>
              <w:rPr>
                <w:rFonts w:hint="eastAsia" w:ascii="宋体" w:hAnsi="宋体"/>
                <w:color w:val="000000"/>
              </w:rPr>
              <w:t>政府性基金预算财政拨款收入支出决算表（公开08表）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ascii="宋体" w:hAnsi="宋体"/>
                <w:color w:val="000000"/>
              </w:rPr>
            </w:pPr>
            <w:r>
              <w:rPr>
                <w:rFonts w:hint="eastAsia"/>
                <w:b w:val="0"/>
                <w:bCs w:val="0"/>
                <w:color w:val="000000"/>
                <w:lang w:val="en-US" w:eastAsia="zh-CN"/>
              </w:rPr>
              <w:t>9</w:t>
            </w:r>
            <w:r>
              <w:rPr>
                <w:rFonts w:hint="eastAsia"/>
                <w:color w:val="000000"/>
              </w:rPr>
              <w:t>.</w:t>
            </w:r>
            <w:r>
              <w:rPr>
                <w:rFonts w:hint="eastAsia" w:ascii="宋体" w:hAnsi="宋体"/>
                <w:color w:val="000000"/>
              </w:rPr>
              <w:t>国有资本经营预算财政拨款支出</w:t>
            </w:r>
            <w:r>
              <w:rPr>
                <w:rFonts w:hint="eastAsia" w:ascii="宋体" w:hAnsi="宋体"/>
                <w:color w:val="000000"/>
                <w:lang w:eastAsia="zh-CN"/>
              </w:rPr>
              <w:t>决算表</w:t>
            </w:r>
            <w:r>
              <w:rPr>
                <w:rFonts w:hint="eastAsia" w:ascii="宋体" w:hAnsi="宋体"/>
                <w:color w:val="000000"/>
              </w:rPr>
              <w:t>（公开0</w:t>
            </w:r>
            <w:r>
              <w:rPr>
                <w:rFonts w:hint="eastAsia" w:ascii="宋体" w:hAnsi="宋体"/>
                <w:color w:val="000000"/>
                <w:lang w:val="en-US" w:eastAsia="zh-CN"/>
              </w:rPr>
              <w:t>9</w:t>
            </w:r>
            <w:r>
              <w:rPr>
                <w:rFonts w:hint="eastAsia" w:ascii="宋体" w:hAnsi="宋体"/>
                <w:color w:val="00000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rPr>
            </w:pPr>
          </w:p>
        </w:tc>
        <w:tc>
          <w:tcPr>
            <w:tcW w:w="7635" w:type="dxa"/>
            <w:gridSpan w:val="4"/>
            <w:tcBorders>
              <w:top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lang w:eastAsia="zh-CN"/>
              </w:rPr>
              <w:t>202</w:t>
            </w:r>
            <w:r>
              <w:rPr>
                <w:rFonts w:hint="eastAsia" w:ascii="宋体" w:hAnsi="宋体"/>
                <w:color w:val="000000"/>
                <w:lang w:val="en-US" w:eastAsia="zh-CN"/>
              </w:rPr>
              <w:t>2</w:t>
            </w:r>
            <w:r>
              <w:rPr>
                <w:rFonts w:hint="eastAsia" w:ascii="宋体" w:hAnsi="宋体"/>
                <w:color w:val="000000"/>
              </w:rPr>
              <w:t>年度部门决算公开说明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trPr>
        <w:tc>
          <w:tcPr>
            <w:tcW w:w="1106" w:type="dxa"/>
            <w:tcBorders>
              <w:left w:val="single" w:color="000000" w:sz="4" w:space="0"/>
              <w:bottom w:val="single" w:color="000000" w:sz="4" w:space="0"/>
            </w:tcBorders>
            <w:vAlign w:val="center"/>
          </w:tcPr>
          <w:p>
            <w:pPr>
              <w:autoSpaceDN w:val="0"/>
              <w:jc w:val="left"/>
              <w:textAlignment w:val="center"/>
              <w:rPr>
                <w:rFonts w:hint="eastAsia"/>
                <w:color w:val="000000"/>
              </w:rPr>
            </w:pPr>
            <w:r>
              <w:rPr>
                <w:rFonts w:hint="eastAsia" w:ascii="宋体" w:hAnsi="宋体"/>
                <w:color w:val="000000"/>
              </w:rPr>
              <w:t>业务口审核意见</w:t>
            </w:r>
          </w:p>
        </w:tc>
        <w:tc>
          <w:tcPr>
            <w:tcW w:w="291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color w:val="000000"/>
              </w:rPr>
            </w:pPr>
            <w:r>
              <w:rPr>
                <w:rFonts w:hint="eastAsia" w:ascii="宋体" w:hAnsi="宋体"/>
                <w:color w:val="000000"/>
              </w:rPr>
              <w:t>审核人</w:t>
            </w:r>
          </w:p>
        </w:tc>
        <w:tc>
          <w:tcPr>
            <w:tcW w:w="3719"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exact"/>
        </w:trPr>
        <w:tc>
          <w:tcPr>
            <w:tcW w:w="110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公开单位意见</w:t>
            </w:r>
          </w:p>
        </w:tc>
        <w:tc>
          <w:tcPr>
            <w:tcW w:w="2915" w:type="dxa"/>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bottom"/>
              <w:rPr>
                <w:rFonts w:hint="eastAsia"/>
                <w:color w:val="000000"/>
              </w:rPr>
            </w:pPr>
            <w:r>
              <w:rPr>
                <w:rFonts w:hint="eastAsia" w:ascii="宋体" w:hAnsi="宋体"/>
                <w:color w:val="000000"/>
              </w:rPr>
              <w:t xml:space="preserve">       （签章）</w:t>
            </w:r>
          </w:p>
          <w:p>
            <w:pPr>
              <w:autoSpaceDN w:val="0"/>
              <w:jc w:val="center"/>
              <w:textAlignment w:val="bottom"/>
              <w:rPr>
                <w:rFonts w:hint="eastAsia"/>
                <w:color w:val="000000"/>
              </w:rPr>
            </w:pPr>
            <w:r>
              <w:rPr>
                <w:rFonts w:hint="eastAsia" w:ascii="宋体" w:hAnsi="宋体"/>
                <w:color w:val="000000"/>
              </w:rPr>
              <w:t xml:space="preserve">       年   月   日</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color w:val="000000"/>
              </w:rPr>
            </w:pPr>
            <w:r>
              <w:rPr>
                <w:rFonts w:hint="eastAsia" w:ascii="宋体" w:hAnsi="宋体"/>
                <w:color w:val="000000"/>
              </w:rPr>
              <w:t>备案部门意见</w:t>
            </w:r>
          </w:p>
        </w:tc>
        <w:tc>
          <w:tcPr>
            <w:tcW w:w="3719" w:type="dxa"/>
            <w:gridSpan w:val="2"/>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bottom"/>
              <w:rPr>
                <w:rFonts w:hint="eastAsia"/>
                <w:color w:val="000000"/>
              </w:rPr>
            </w:pPr>
            <w:r>
              <w:rPr>
                <w:rFonts w:hint="eastAsia" w:ascii="宋体" w:hAnsi="宋体"/>
                <w:color w:val="000000"/>
              </w:rPr>
              <w:t xml:space="preserve">     （签章）</w:t>
            </w:r>
          </w:p>
          <w:p>
            <w:pPr>
              <w:autoSpaceDN w:val="0"/>
              <w:jc w:val="center"/>
              <w:textAlignment w:val="bottom"/>
              <w:rPr>
                <w:rFonts w:hint="eastAsia"/>
                <w:color w:val="000000"/>
              </w:rPr>
            </w:pPr>
            <w:r>
              <w:rPr>
                <w:rFonts w:hint="eastAsia" w:ascii="宋体" w:hAnsi="宋体"/>
                <w:color w:val="00000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8741" w:type="dxa"/>
            <w:gridSpan w:val="5"/>
            <w:vAlign w:val="center"/>
          </w:tcPr>
          <w:p>
            <w:pPr>
              <w:autoSpaceDN w:val="0"/>
              <w:jc w:val="left"/>
              <w:textAlignment w:val="center"/>
              <w:rPr>
                <w:rFonts w:hint="eastAsia"/>
                <w:color w:val="000000"/>
              </w:rPr>
            </w:pPr>
            <w:r>
              <w:rPr>
                <w:rFonts w:hint="eastAsia" w:ascii="宋体" w:hAnsi="宋体"/>
                <w:color w:val="000000"/>
              </w:rPr>
              <w:t>注：公开单位和审核部门必须明确标示是否涉密、是否同意公开。</w:t>
            </w:r>
          </w:p>
        </w:tc>
      </w:tr>
    </w:tbl>
    <w:p>
      <w:pPr>
        <w:spacing w:line="580" w:lineRule="exact"/>
        <w:rPr>
          <w:rFonts w:hint="eastAsia" w:ascii="黑体" w:eastAsia="黑体"/>
          <w:sz w:val="32"/>
          <w:szCs w:val="32"/>
        </w:rPr>
      </w:pPr>
    </w:p>
    <w:p>
      <w:pPr>
        <w:spacing w:line="580" w:lineRule="exact"/>
        <w:rPr>
          <w:rFonts w:hint="eastAsia" w:ascii="黑体" w:eastAsia="黑体"/>
          <w:b w:val="0"/>
          <w:sz w:val="32"/>
          <w:szCs w:val="32"/>
        </w:rPr>
      </w:pPr>
      <w:r>
        <w:rPr>
          <w:rFonts w:hint="eastAsia" w:ascii="黑体" w:eastAsia="黑体"/>
          <w:b w:val="0"/>
          <w:sz w:val="32"/>
          <w:szCs w:val="32"/>
        </w:rPr>
        <w:t>附件2</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22</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val="en-US" w:eastAsia="zh-CN"/>
        </w:rPr>
        <w:t>永宁县社会保险事业管理中心</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第一部分  单位概况</w:t>
      </w:r>
    </w:p>
    <w:p>
      <w:pPr>
        <w:spacing w:line="580" w:lineRule="exact"/>
        <w:ind w:firstLine="784" w:firstLineChars="245"/>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部门职责</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机构设置</w:t>
      </w:r>
    </w:p>
    <w:p>
      <w:pPr>
        <w:spacing w:before="156" w:beforeLines="50"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第二部分  20</w:t>
      </w:r>
      <w:r>
        <w:rPr>
          <w:rFonts w:hint="eastAsia" w:ascii="黑体" w:hAnsi="黑体" w:eastAsia="黑体" w:cs="黑体"/>
          <w:b w:val="0"/>
          <w:bCs/>
          <w:kern w:val="0"/>
          <w:sz w:val="32"/>
          <w:szCs w:val="32"/>
          <w:lang w:val="en-US" w:eastAsia="zh-CN"/>
        </w:rPr>
        <w:t>22</w:t>
      </w:r>
      <w:r>
        <w:rPr>
          <w:rFonts w:hint="eastAsia" w:ascii="黑体" w:hAnsi="黑体" w:eastAsia="黑体" w:cs="黑体"/>
          <w:b w:val="0"/>
          <w:bCs/>
          <w:kern w:val="0"/>
          <w:sz w:val="32"/>
          <w:szCs w:val="32"/>
        </w:rPr>
        <w:t>年度部门决算表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w:t>
      </w:r>
    </w:p>
    <w:p>
      <w:pPr>
        <w:spacing w:line="580" w:lineRule="exact"/>
        <w:ind w:firstLine="830"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财政拨款“三公”经费支出决算表</w:t>
      </w:r>
    </w:p>
    <w:p>
      <w:pPr>
        <w:spacing w:line="5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政府性基金预算财政拨款收入支出决算表</w:t>
      </w:r>
    </w:p>
    <w:p>
      <w:pPr>
        <w:spacing w:line="5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国有资本经营预算财政拨款支出决算表</w:t>
      </w:r>
    </w:p>
    <w:p>
      <w:pPr>
        <w:spacing w:before="156" w:beforeLines="50" w:line="580" w:lineRule="exact"/>
        <w:ind w:firstLine="156" w:firstLineChars="49"/>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第三部分  20</w:t>
      </w:r>
      <w:r>
        <w:rPr>
          <w:rFonts w:hint="eastAsia" w:ascii="黑体" w:hAnsi="黑体" w:eastAsia="黑体" w:cs="黑体"/>
          <w:b w:val="0"/>
          <w:bCs/>
          <w:kern w:val="0"/>
          <w:sz w:val="32"/>
          <w:szCs w:val="32"/>
          <w:lang w:val="en-US" w:eastAsia="zh-CN"/>
        </w:rPr>
        <w:t>22</w:t>
      </w:r>
      <w:r>
        <w:rPr>
          <w:rFonts w:hint="eastAsia" w:ascii="黑体" w:hAnsi="黑体" w:eastAsia="黑体" w:cs="黑体"/>
          <w:b w:val="0"/>
          <w:bCs/>
          <w:kern w:val="0"/>
          <w:sz w:val="32"/>
          <w:szCs w:val="32"/>
        </w:rPr>
        <w:t>年度部门决算情况说明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二、收入决算情况说明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四、财政拨款收入支出决算总体情况说明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五、一般公共预算财政拨款支出决算情况说明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六、一般公共预算财政拨款基本支出决算情况说明</w:t>
      </w:r>
    </w:p>
    <w:p>
      <w:pPr>
        <w:spacing w:line="580" w:lineRule="exact"/>
        <w:ind w:firstLine="700" w:firstLineChars="250"/>
        <w:outlineLvl w:val="1"/>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lang w:val="en-US" w:eastAsia="zh-CN"/>
        </w:rPr>
        <w:t xml:space="preserve"> </w:t>
      </w:r>
      <w:r>
        <w:rPr>
          <w:rFonts w:hint="eastAsia" w:ascii="仿宋_GB2312" w:hAnsi="仿宋_GB2312" w:eastAsia="仿宋_GB2312" w:cs="仿宋_GB2312"/>
          <w:spacing w:val="-20"/>
          <w:kern w:val="0"/>
          <w:sz w:val="32"/>
          <w:szCs w:val="32"/>
        </w:rPr>
        <w:t>七、</w:t>
      </w:r>
      <w:r>
        <w:rPr>
          <w:rFonts w:hint="eastAsia" w:ascii="仿宋_GB2312" w:hAnsi="仿宋_GB2312" w:eastAsia="仿宋_GB2312" w:cs="仿宋_GB2312"/>
          <w:spacing w:val="0"/>
          <w:kern w:val="0"/>
          <w:sz w:val="32"/>
          <w:szCs w:val="32"/>
        </w:rPr>
        <w:t>财政拨款“三公”经费支出决算情况说明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w:t>
      </w:r>
      <w:r>
        <w:rPr>
          <w:rFonts w:hint="eastAsia" w:ascii="仿宋_GB2312" w:hAnsi="仿宋_GB2312" w:eastAsia="仿宋_GB2312" w:cs="仿宋_GB2312"/>
          <w:kern w:val="0"/>
          <w:sz w:val="32"/>
          <w:szCs w:val="32"/>
          <w:lang w:eastAsia="zh-CN"/>
        </w:rPr>
        <w:t>国有资本经营预算财政拨款支出情况说明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w:t>
      </w:r>
      <w:r>
        <w:rPr>
          <w:rFonts w:hint="eastAsia" w:ascii="仿宋_GB2312" w:hAnsi="仿宋_GB2312" w:eastAsia="仿宋_GB2312" w:cs="仿宋_GB2312"/>
          <w:kern w:val="0"/>
          <w:sz w:val="32"/>
          <w:szCs w:val="32"/>
        </w:rPr>
        <w:t>其他重要事项的情况说明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w:t>
      </w:r>
      <w:r>
        <w:rPr>
          <w:rFonts w:hint="eastAsia" w:ascii="仿宋_GB2312" w:hAnsi="仿宋_GB2312" w:eastAsia="仿宋_GB2312" w:cs="仿宋_GB2312"/>
          <w:kern w:val="0"/>
          <w:sz w:val="32"/>
          <w:szCs w:val="32"/>
          <w:lang w:eastAsia="zh-CN"/>
        </w:rPr>
        <w:t>支出</w:t>
      </w:r>
      <w:r>
        <w:rPr>
          <w:rFonts w:hint="eastAsia" w:ascii="仿宋_GB2312" w:hAnsi="仿宋_GB2312" w:eastAsia="仿宋_GB2312" w:cs="仿宋_GB2312"/>
          <w:kern w:val="0"/>
          <w:sz w:val="32"/>
          <w:szCs w:val="32"/>
        </w:rPr>
        <w:t>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（三）国有资产占有使用情况说明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w:t>
      </w:r>
      <w:r>
        <w:rPr>
          <w:rFonts w:hint="eastAsia" w:ascii="仿宋_GB2312" w:hAnsi="仿宋_GB2312" w:eastAsia="仿宋_GB2312" w:cs="仿宋_GB2312"/>
          <w:kern w:val="0"/>
          <w:sz w:val="32"/>
          <w:szCs w:val="32"/>
          <w:lang w:eastAsia="zh-CN"/>
        </w:rPr>
        <w:t>说明</w:t>
      </w:r>
    </w:p>
    <w:p>
      <w:pPr>
        <w:spacing w:after="156" w:afterLines="50" w:line="580" w:lineRule="exact"/>
        <w:ind w:firstLine="313" w:firstLineChars="98"/>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第四部分  名词解释</w:t>
      </w:r>
    </w:p>
    <w:p>
      <w:pPr>
        <w:spacing w:after="156" w:afterLines="50" w:line="580" w:lineRule="exact"/>
        <w:ind w:firstLine="313" w:firstLineChars="98"/>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 xml:space="preserve">部分  </w:t>
      </w:r>
      <w:r>
        <w:rPr>
          <w:rFonts w:hint="eastAsia" w:ascii="黑体" w:hAnsi="黑体" w:eastAsia="黑体" w:cs="黑体"/>
          <w:b w:val="0"/>
          <w:bCs/>
          <w:kern w:val="0"/>
          <w:sz w:val="32"/>
          <w:szCs w:val="32"/>
          <w:lang w:eastAsia="zh-CN"/>
        </w:rPr>
        <w:t>附件</w:t>
      </w:r>
    </w:p>
    <w:p>
      <w:pPr>
        <w:spacing w:line="580" w:lineRule="exact"/>
        <w:outlineLvl w:val="1"/>
        <w:rPr>
          <w:rFonts w:hint="eastAsia" w:ascii="仿宋_GB2312" w:hAnsi="仿宋_GB2312" w:eastAsia="仿宋_GB2312" w:cs="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部门职责</w:t>
      </w:r>
    </w:p>
    <w:p>
      <w:pPr>
        <w:spacing w:line="500" w:lineRule="exact"/>
        <w:ind w:firstLine="640" w:firstLineChars="200"/>
        <w:rPr>
          <w:rFonts w:hint="eastAsia" w:ascii="仿宋_GB2312" w:hAnsi="宋体" w:eastAsia="仿宋_GB2312" w:cs="宋体"/>
          <w:bCs/>
          <w:kern w:val="0"/>
          <w:sz w:val="32"/>
          <w:szCs w:val="32"/>
        </w:rPr>
      </w:pPr>
      <w:r>
        <w:rPr>
          <w:rFonts w:hint="eastAsia" w:ascii="仿宋_GB2312" w:eastAsia="仿宋_GB2312"/>
          <w:sz w:val="32"/>
          <w:szCs w:val="32"/>
        </w:rPr>
        <w:t>永宁县社会保险事业管理</w:t>
      </w:r>
      <w:r>
        <w:rPr>
          <w:rFonts w:hint="eastAsia" w:ascii="仿宋_GB2312" w:eastAsia="仿宋_GB2312"/>
          <w:sz w:val="32"/>
          <w:szCs w:val="32"/>
          <w:lang w:val="en-US" w:eastAsia="zh-CN"/>
        </w:rPr>
        <w:t>中心</w:t>
      </w:r>
      <w:r>
        <w:rPr>
          <w:rFonts w:hint="eastAsia" w:ascii="仿宋_GB2312" w:hAnsi="宋体" w:eastAsia="仿宋_GB2312"/>
          <w:sz w:val="32"/>
          <w:szCs w:val="32"/>
        </w:rPr>
        <w:t>主要负责全县城镇职工、</w:t>
      </w:r>
      <w:r>
        <w:rPr>
          <w:rFonts w:hint="eastAsia" w:ascii="仿宋_GB2312" w:hAnsi="宋体" w:eastAsia="仿宋_GB2312"/>
          <w:sz w:val="32"/>
          <w:szCs w:val="32"/>
          <w:lang w:val="en-US" w:eastAsia="zh-CN"/>
        </w:rPr>
        <w:t>机关事业单位养老金发放工作，</w:t>
      </w:r>
      <w:r>
        <w:rPr>
          <w:rFonts w:hint="eastAsia" w:ascii="仿宋_GB2312" w:hAnsi="宋体" w:eastAsia="仿宋_GB2312"/>
          <w:sz w:val="32"/>
          <w:szCs w:val="32"/>
          <w:lang w:eastAsia="zh-CN"/>
        </w:rPr>
        <w:t>工伤申报发放</w:t>
      </w:r>
      <w:r>
        <w:rPr>
          <w:rFonts w:hint="eastAsia" w:ascii="仿宋_GB2312" w:hAnsi="宋体" w:eastAsia="仿宋_GB2312"/>
          <w:sz w:val="32"/>
          <w:szCs w:val="32"/>
        </w:rPr>
        <w:t>、</w:t>
      </w:r>
      <w:r>
        <w:rPr>
          <w:rFonts w:hint="eastAsia" w:ascii="仿宋_GB2312" w:hAnsi="宋体" w:eastAsia="仿宋_GB2312"/>
          <w:sz w:val="32"/>
          <w:szCs w:val="32"/>
          <w:lang w:eastAsia="zh-CN"/>
        </w:rPr>
        <w:t>退休</w:t>
      </w:r>
      <w:r>
        <w:rPr>
          <w:rFonts w:hint="eastAsia" w:ascii="仿宋_GB2312" w:hAnsi="宋体" w:eastAsia="仿宋_GB2312"/>
          <w:sz w:val="32"/>
          <w:szCs w:val="32"/>
        </w:rPr>
        <w:t>待遇</w:t>
      </w:r>
      <w:r>
        <w:rPr>
          <w:rFonts w:hint="eastAsia" w:ascii="仿宋_GB2312" w:hAnsi="宋体" w:eastAsia="仿宋_GB2312"/>
          <w:sz w:val="32"/>
          <w:szCs w:val="32"/>
          <w:lang w:val="en-US" w:eastAsia="zh-CN"/>
        </w:rPr>
        <w:t>计算</w:t>
      </w:r>
      <w:r>
        <w:rPr>
          <w:rFonts w:hint="eastAsia" w:ascii="仿宋_GB2312" w:hAnsi="宋体" w:eastAsia="仿宋_GB2312"/>
          <w:sz w:val="32"/>
          <w:szCs w:val="32"/>
          <w:lang w:eastAsia="zh-CN"/>
        </w:rPr>
        <w:t>、丧抚费</w:t>
      </w:r>
      <w:r>
        <w:rPr>
          <w:rFonts w:hint="eastAsia" w:ascii="仿宋_GB2312" w:hAnsi="宋体" w:eastAsia="仿宋_GB2312"/>
          <w:sz w:val="32"/>
          <w:szCs w:val="32"/>
        </w:rPr>
        <w:t>核算、</w:t>
      </w:r>
      <w:r>
        <w:rPr>
          <w:rFonts w:hint="eastAsia" w:ascii="仿宋_GB2312" w:hAnsi="宋体" w:eastAsia="仿宋_GB2312"/>
          <w:sz w:val="32"/>
          <w:szCs w:val="32"/>
          <w:lang w:val="en-US" w:eastAsia="zh-CN"/>
        </w:rPr>
        <w:t>社保</w:t>
      </w:r>
      <w:r>
        <w:rPr>
          <w:rFonts w:hint="eastAsia" w:ascii="仿宋_GB2312" w:hAnsi="宋体" w:eastAsia="仿宋_GB2312"/>
          <w:sz w:val="32"/>
          <w:szCs w:val="32"/>
        </w:rPr>
        <w:t>基金</w:t>
      </w:r>
      <w:r>
        <w:rPr>
          <w:rFonts w:hint="eastAsia" w:ascii="仿宋_GB2312" w:hAnsi="宋体" w:eastAsia="仿宋_GB2312"/>
          <w:sz w:val="32"/>
          <w:szCs w:val="32"/>
          <w:lang w:val="en-US" w:eastAsia="zh-CN"/>
        </w:rPr>
        <w:t>安全稽核</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死亡人员稽核</w:t>
      </w:r>
      <w:r>
        <w:rPr>
          <w:rFonts w:hint="eastAsia" w:ascii="仿宋_GB2312" w:hAnsi="宋体" w:eastAsia="仿宋_GB2312"/>
          <w:sz w:val="32"/>
          <w:szCs w:val="32"/>
        </w:rPr>
        <w:t>等经办管理工作。</w:t>
      </w:r>
    </w:p>
    <w:p>
      <w:pPr>
        <w:widowControl/>
        <w:spacing w:line="560" w:lineRule="exact"/>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w:t>
      </w:r>
      <w:r>
        <w:rPr>
          <w:rFonts w:hint="eastAsia" w:ascii="黑体" w:hAnsi="黑体" w:eastAsia="黑体" w:cs="黑体"/>
          <w:b w:val="0"/>
          <w:bCs w:val="0"/>
          <w:kern w:val="0"/>
          <w:sz w:val="32"/>
          <w:szCs w:val="32"/>
          <w:lang w:eastAsia="zh-CN"/>
        </w:rPr>
        <w:t>机构设置</w:t>
      </w:r>
    </w:p>
    <w:p>
      <w:pPr>
        <w:numPr>
          <w:ilvl w:val="0"/>
          <w:numId w:val="1"/>
        </w:numPr>
        <w:spacing w:line="560" w:lineRule="exact"/>
        <w:ind w:firstLine="643" w:firstLineChars="200"/>
        <w:rPr>
          <w:rFonts w:hint="eastAsia" w:ascii="仿宋_GB2312" w:hAnsi="仿宋_GB2312" w:eastAsia="仿宋_GB2312" w:cs="仿宋_GB2312"/>
          <w:kern w:val="0"/>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rPr>
        <w:t>按照部门决算编报要求，</w:t>
      </w:r>
      <w:r>
        <w:rPr>
          <w:rFonts w:hint="eastAsia" w:ascii="仿宋_GB2312" w:hAnsi="仿宋_GB2312" w:eastAsia="仿宋_GB2312" w:cs="仿宋_GB2312"/>
          <w:kern w:val="0"/>
          <w:sz w:val="32"/>
          <w:szCs w:val="32"/>
          <w:lang w:eastAsia="zh-CN"/>
        </w:rPr>
        <w:t>永宁县社保局</w:t>
      </w:r>
      <w:r>
        <w:rPr>
          <w:rFonts w:hint="eastAsia" w:ascii="仿宋_GB2312" w:hAnsi="仿宋_GB2312" w:eastAsia="仿宋_GB2312" w:cs="仿宋_GB2312"/>
          <w:kern w:val="0"/>
          <w:sz w:val="32"/>
          <w:szCs w:val="32"/>
        </w:rPr>
        <w:t>部门决算</w:t>
      </w:r>
      <w:r>
        <w:rPr>
          <w:rFonts w:hint="eastAsia" w:ascii="Times New Roman" w:eastAsia="仿宋_GB2312"/>
          <w:sz w:val="32"/>
          <w:szCs w:val="32"/>
        </w:rPr>
        <w:t>包括本级的汇总决算。</w:t>
      </w:r>
      <w:r>
        <w:rPr>
          <w:rFonts w:hint="eastAsia" w:ascii="仿宋_GB2312" w:hAnsi="仿宋_GB2312" w:eastAsia="仿宋_GB2312" w:cs="仿宋_GB2312"/>
          <w:kern w:val="0"/>
          <w:sz w:val="32"/>
          <w:szCs w:val="32"/>
        </w:rPr>
        <w:t>纳入部门决算编报范围的单位共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p>
    <w:p>
      <w:pPr>
        <w:numPr>
          <w:ilvl w:val="0"/>
          <w:numId w:val="2"/>
        </w:numPr>
        <w:snapToGrid w:val="0"/>
        <w:spacing w:line="520" w:lineRule="exact"/>
        <w:ind w:left="-10" w:leftChars="0" w:firstLine="640" w:firstLineChars="0"/>
        <w:rPr>
          <w:rFonts w:hint="eastAsia" w:ascii="仿宋_GB2312" w:hAnsi="仿宋" w:eastAsia="仿宋_GB2312"/>
          <w:sz w:val="32"/>
          <w:szCs w:val="32"/>
        </w:rPr>
      </w:pPr>
      <w:r>
        <w:rPr>
          <w:rFonts w:hint="eastAsia" w:ascii="仿宋_GB2312" w:hAnsi="仿宋" w:eastAsia="仿宋_GB2312"/>
          <w:sz w:val="32"/>
          <w:szCs w:val="32"/>
        </w:rPr>
        <w:t>机构情况</w:t>
      </w:r>
    </w:p>
    <w:p>
      <w:pPr>
        <w:numPr>
          <w:ilvl w:val="0"/>
          <w:numId w:val="0"/>
        </w:num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我局内设职工、城乡居民基本养老、</w:t>
      </w:r>
      <w:r>
        <w:rPr>
          <w:rFonts w:hint="eastAsia" w:ascii="仿宋_GB2312" w:hAnsi="仿宋_GB2312" w:eastAsia="仿宋_GB2312" w:cs="仿宋_GB2312"/>
          <w:kern w:val="0"/>
          <w:sz w:val="32"/>
          <w:szCs w:val="32"/>
          <w:lang w:eastAsia="zh-CN"/>
        </w:rPr>
        <w:t>工伤</w:t>
      </w:r>
      <w:r>
        <w:rPr>
          <w:rFonts w:hint="eastAsia" w:ascii="仿宋_GB2312" w:hAnsi="仿宋_GB2312" w:eastAsia="仿宋_GB2312" w:cs="仿宋_GB2312"/>
          <w:kern w:val="0"/>
          <w:sz w:val="32"/>
          <w:szCs w:val="32"/>
        </w:rPr>
        <w:t>保险征缴、待遇核算、审核、基金支付及</w:t>
      </w:r>
      <w:r>
        <w:rPr>
          <w:rFonts w:hint="eastAsia" w:ascii="仿宋_GB2312" w:hAnsi="仿宋_GB2312" w:eastAsia="仿宋_GB2312" w:cs="仿宋_GB2312"/>
          <w:kern w:val="0"/>
          <w:sz w:val="32"/>
          <w:szCs w:val="32"/>
          <w:lang w:eastAsia="zh-CN"/>
        </w:rPr>
        <w:t>养老保险</w:t>
      </w:r>
      <w:r>
        <w:rPr>
          <w:rFonts w:hint="eastAsia" w:ascii="仿宋_GB2312" w:hAnsi="仿宋_GB2312" w:eastAsia="仿宋_GB2312" w:cs="仿宋_GB2312"/>
          <w:kern w:val="0"/>
          <w:sz w:val="32"/>
          <w:szCs w:val="32"/>
        </w:rPr>
        <w:t>稽核等科室。</w:t>
      </w:r>
    </w:p>
    <w:p>
      <w:pPr>
        <w:numPr>
          <w:ilvl w:val="0"/>
          <w:numId w:val="0"/>
        </w:numPr>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人员情况</w:t>
      </w:r>
    </w:p>
    <w:p>
      <w:pPr>
        <w:numPr>
          <w:ilvl w:val="0"/>
          <w:numId w:val="0"/>
        </w:num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eastAsia="仿宋_GB2312"/>
          <w:sz w:val="32"/>
          <w:szCs w:val="32"/>
        </w:rPr>
        <w:t>编制</w:t>
      </w:r>
      <w:r>
        <w:rPr>
          <w:rFonts w:hint="eastAsia" w:ascii="仿宋_GB2312" w:eastAsia="仿宋_GB2312"/>
          <w:sz w:val="32"/>
          <w:szCs w:val="32"/>
          <w:lang w:val="en-US" w:eastAsia="zh-CN"/>
        </w:rPr>
        <w:t>17</w:t>
      </w:r>
      <w:r>
        <w:rPr>
          <w:rFonts w:hint="eastAsia" w:ascii="仿宋_GB2312" w:eastAsia="仿宋_GB2312"/>
          <w:sz w:val="32"/>
          <w:szCs w:val="32"/>
        </w:rPr>
        <w:t>人，在职</w:t>
      </w:r>
      <w:r>
        <w:rPr>
          <w:rFonts w:hint="eastAsia" w:ascii="仿宋_GB2312" w:eastAsia="仿宋_GB2312"/>
          <w:sz w:val="32"/>
          <w:szCs w:val="32"/>
          <w:lang w:val="en-US" w:eastAsia="zh-CN"/>
        </w:rPr>
        <w:t>15</w:t>
      </w:r>
      <w:r>
        <w:rPr>
          <w:rFonts w:hint="eastAsia" w:ascii="仿宋_GB2312" w:eastAsia="仿宋_GB2312"/>
          <w:sz w:val="32"/>
          <w:szCs w:val="32"/>
        </w:rPr>
        <w:t>人，其中正科</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副科1人。</w:t>
      </w:r>
    </w:p>
    <w:p>
      <w:pPr>
        <w:widowControl/>
        <w:spacing w:line="560" w:lineRule="exact"/>
        <w:ind w:firstLine="480"/>
        <w:jc w:val="left"/>
        <w:rPr>
          <w:rFonts w:hint="eastAsia" w:ascii="仿宋_GB2312" w:hAnsi="仿宋_GB2312" w:eastAsia="仿宋_GB2312" w:cs="仿宋_GB2312"/>
          <w:kern w:val="0"/>
          <w:sz w:val="32"/>
          <w:szCs w:val="32"/>
          <w:lang w:eastAsia="zh-CN"/>
        </w:rPr>
      </w:pPr>
    </w:p>
    <w:p>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5"/>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7"/>
        <w:gridCol w:w="738"/>
        <w:gridCol w:w="1078"/>
        <w:gridCol w:w="4235"/>
        <w:gridCol w:w="700"/>
        <w:gridCol w:w="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第二部分  20</w:t>
            </w:r>
            <w:r>
              <w:rPr>
                <w:rFonts w:hint="eastAsia" w:ascii="黑体" w:hAnsi="黑体" w:eastAsia="黑体" w:cs="黑体"/>
                <w:b w:val="0"/>
                <w:kern w:val="0"/>
                <w:sz w:val="30"/>
                <w:szCs w:val="30"/>
                <w:lang w:val="en-US" w:eastAsia="zh-CN"/>
              </w:rPr>
              <w:t>22</w:t>
            </w:r>
            <w:r>
              <w:rPr>
                <w:rFonts w:hint="eastAsia" w:ascii="黑体" w:hAnsi="黑体" w:eastAsia="黑体" w:cs="黑体"/>
                <w:b w:val="0"/>
                <w:kern w:val="0"/>
                <w:sz w:val="30"/>
                <w:szCs w:val="30"/>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nil"/>
              <w:left w:val="nil"/>
              <w:bottom w:val="single" w:color="auto" w:sz="12"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tabs>
                <w:tab w:val="center" w:pos="431"/>
                <w:tab w:val="right" w:pos="1162"/>
              </w:tabs>
              <w:jc w:val="left"/>
              <w:rPr>
                <w:rFonts w:ascii="宋体" w:hAnsi="宋体" w:cs="Arial"/>
                <w:color w:val="000000"/>
                <w:kern w:val="0"/>
                <w:sz w:val="18"/>
                <w:szCs w:val="18"/>
              </w:rPr>
            </w:pPr>
            <w:r>
              <w:rPr>
                <w:rFonts w:hint="eastAsia" w:ascii="宋体" w:hAnsi="宋体" w:cs="Arial"/>
                <w:color w:val="000000"/>
                <w:kern w:val="0"/>
                <w:sz w:val="18"/>
                <w:szCs w:val="18"/>
                <w:lang w:eastAsia="zh-CN"/>
              </w:rPr>
              <w:tab/>
            </w:r>
            <w:r>
              <w:rPr>
                <w:rFonts w:hint="eastAsia" w:ascii="宋体" w:hAnsi="宋体" w:cs="Arial"/>
                <w:color w:val="000000"/>
                <w:kern w:val="0"/>
                <w:sz w:val="18"/>
                <w:szCs w:val="18"/>
                <w:lang w:eastAsia="zh-CN"/>
              </w:rPr>
              <w:t>24797828.9</w:t>
            </w:r>
            <w:r>
              <w:rPr>
                <w:rFonts w:hint="eastAsia" w:ascii="宋体" w:hAnsi="宋体" w:cs="Arial"/>
                <w:color w:val="000000"/>
                <w:kern w:val="0"/>
                <w:sz w:val="18"/>
                <w:szCs w:val="18"/>
                <w:lang w:eastAsia="zh-CN"/>
              </w:rPr>
              <w:tab/>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r>
              <w:rPr>
                <w:rFonts w:hint="eastAsia" w:ascii="宋体" w:hAnsi="宋体" w:cs="Arial"/>
                <w:color w:val="000000"/>
                <w:kern w:val="0"/>
                <w:sz w:val="18"/>
                <w:szCs w:val="18"/>
                <w:lang w:eastAsia="zh-CN"/>
              </w:rPr>
              <w:t>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24347619.86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20</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48432684.9</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hint="eastAsia" w:ascii="宋体" w:hAnsi="宋体" w:cs="Arial"/>
                <w:b/>
                <w:bCs/>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642664.26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30</w:t>
            </w:r>
          </w:p>
        </w:tc>
        <w:tc>
          <w:tcPr>
            <w:tcW w:w="1078" w:type="dxa"/>
            <w:tcBorders>
              <w:top w:val="single" w:color="auto" w:sz="4" w:space="0"/>
              <w:left w:val="single" w:color="auto" w:sz="4" w:space="0"/>
              <w:bottom w:val="single" w:color="auto" w:sz="12"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49075349.16　</w:t>
            </w:r>
          </w:p>
        </w:tc>
        <w:tc>
          <w:tcPr>
            <w:tcW w:w="4235"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bl>
    <w:p>
      <w:pPr>
        <w:spacing w:line="240" w:lineRule="atLeast"/>
        <w:jc w:val="left"/>
        <w:rPr>
          <w:rFonts w:hint="eastAsia"/>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pPr w:leftFromText="180" w:rightFromText="180" w:vertAnchor="text" w:horzAnchor="page" w:tblpX="1358" w:tblpY="621"/>
        <w:tblOverlap w:val="never"/>
        <w:tblW w:w="14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447"/>
        <w:gridCol w:w="447"/>
        <w:gridCol w:w="1155"/>
        <w:gridCol w:w="1726"/>
        <w:gridCol w:w="1514"/>
        <w:gridCol w:w="1453"/>
        <w:gridCol w:w="965"/>
        <w:gridCol w:w="1434"/>
        <w:gridCol w:w="1765"/>
        <w:gridCol w:w="1717"/>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4500" w:type="dxa"/>
            <w:gridSpan w:val="12"/>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9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49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7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3" w:type="dxa"/>
            <w:tcBorders>
              <w:top w:val="nil"/>
              <w:left w:val="nil"/>
              <w:bottom w:val="nil"/>
              <w:right w:val="nil"/>
            </w:tcBorders>
            <w:vAlign w:val="bottom"/>
          </w:tcPr>
          <w:p>
            <w:pPr>
              <w:widowControl/>
              <w:jc w:val="center"/>
              <w:rPr>
                <w:rFonts w:ascii="宋体" w:hAnsi="宋体" w:cs="Arial"/>
                <w:color w:val="000000"/>
                <w:kern w:val="0"/>
                <w:sz w:val="24"/>
              </w:rPr>
            </w:pPr>
          </w:p>
        </w:tc>
        <w:tc>
          <w:tcPr>
            <w:tcW w:w="239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49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726"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1514"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财政拨款收入</w:t>
            </w:r>
          </w:p>
        </w:tc>
        <w:tc>
          <w:tcPr>
            <w:tcW w:w="1453"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上级补助收入</w:t>
            </w:r>
          </w:p>
        </w:tc>
        <w:tc>
          <w:tcPr>
            <w:tcW w:w="2399" w:type="dxa"/>
            <w:gridSpan w:val="2"/>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事业收入</w:t>
            </w:r>
          </w:p>
        </w:tc>
        <w:tc>
          <w:tcPr>
            <w:tcW w:w="1765"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经营收入</w:t>
            </w:r>
          </w:p>
        </w:tc>
        <w:tc>
          <w:tcPr>
            <w:tcW w:w="1717" w:type="dxa"/>
            <w:vMerge w:val="restart"/>
            <w:tcBorders>
              <w:top w:val="single" w:color="000000" w:sz="8" w:space="0"/>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附属单位上缴收入</w:t>
            </w:r>
          </w:p>
        </w:tc>
        <w:tc>
          <w:tcPr>
            <w:tcW w:w="1430" w:type="dxa"/>
            <w:vMerge w:val="restart"/>
            <w:tcBorders>
              <w:top w:val="single" w:color="000000" w:sz="8" w:space="0"/>
              <w:left w:val="nil"/>
              <w:right w:val="single" w:color="000000" w:sz="8"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功能分类科目编码</w:t>
            </w:r>
          </w:p>
        </w:tc>
        <w:tc>
          <w:tcPr>
            <w:tcW w:w="1155"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726"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514"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53"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2399" w:type="dxa"/>
            <w:gridSpan w:val="2"/>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65"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1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30" w:type="dxa"/>
            <w:vMerge w:val="continue"/>
            <w:tcBorders>
              <w:left w:val="nil"/>
              <w:right w:val="single" w:color="000000" w:sz="8" w:space="0"/>
            </w:tcBorders>
            <w:vAlign w:val="center"/>
          </w:tcPr>
          <w:p>
            <w:pPr>
              <w:widowControl/>
              <w:jc w:val="center"/>
              <w:rPr>
                <w:rFonts w:hint="eastAsia"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47" w:type="dxa"/>
            <w:vMerge w:val="restart"/>
            <w:tcBorders>
              <w:top w:val="nil"/>
              <w:left w:val="single" w:color="000000" w:sz="8"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类</w:t>
            </w:r>
          </w:p>
        </w:tc>
        <w:tc>
          <w:tcPr>
            <w:tcW w:w="447"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款</w:t>
            </w:r>
          </w:p>
        </w:tc>
        <w:tc>
          <w:tcPr>
            <w:tcW w:w="447" w:type="dxa"/>
            <w:vMerge w:val="restart"/>
            <w:tcBorders>
              <w:top w:val="nil"/>
              <w:left w:val="nil"/>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155"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26"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514"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53"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9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小计</w:t>
            </w:r>
          </w:p>
        </w:tc>
        <w:tc>
          <w:tcPr>
            <w:tcW w:w="1434"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其中：教育收费</w:t>
            </w:r>
          </w:p>
        </w:tc>
        <w:tc>
          <w:tcPr>
            <w:tcW w:w="1765"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p>
        </w:tc>
        <w:tc>
          <w:tcPr>
            <w:tcW w:w="171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p>
        </w:tc>
        <w:tc>
          <w:tcPr>
            <w:tcW w:w="1430" w:type="dxa"/>
            <w:vMerge w:val="continue"/>
            <w:tcBorders>
              <w:left w:val="nil"/>
              <w:bottom w:val="single" w:color="000000" w:sz="4" w:space="0"/>
              <w:right w:val="single" w:color="000000" w:sz="8" w:space="0"/>
            </w:tcBorders>
            <w:vAlign w:val="center"/>
          </w:tcPr>
          <w:p>
            <w:pPr>
              <w:widowControl/>
              <w:jc w:val="center"/>
              <w:rPr>
                <w:rFonts w:hint="eastAsia" w:ascii="宋体" w:hAnsi="宋体" w:eastAsia="宋体" w:cs="宋体"/>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7" w:type="dxa"/>
            <w:vMerge w:val="continue"/>
            <w:tcBorders>
              <w:left w:val="single" w:color="000000" w:sz="8"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15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726"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14"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53"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399" w:type="dxa"/>
            <w:gridSpan w:val="2"/>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4</w:t>
            </w:r>
          </w:p>
        </w:tc>
        <w:tc>
          <w:tcPr>
            <w:tcW w:w="17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p>
        </w:tc>
        <w:tc>
          <w:tcPr>
            <w:tcW w:w="171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430" w:type="dxa"/>
            <w:tcBorders>
              <w:top w:val="nil"/>
              <w:left w:val="nil"/>
              <w:bottom w:val="single" w:color="000000" w:sz="4" w:space="0"/>
              <w:right w:val="single" w:color="000000" w:sz="8" w:space="0"/>
            </w:tcBorders>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7" w:type="dxa"/>
            <w:vMerge w:val="continue"/>
            <w:tcBorders>
              <w:left w:val="single" w:color="000000" w:sz="8"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447"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15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48,432,684.90</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48,382,684.90</w:t>
            </w:r>
          </w:p>
        </w:tc>
        <w:tc>
          <w:tcPr>
            <w:tcW w:w="1453"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2399" w:type="dxa"/>
            <w:gridSpan w:val="2"/>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6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717"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18"/>
              </w:rPr>
            </w:pP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24,364,386.94</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24,314,386.94</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23,457,548.04</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23,407,548.04</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114,210.22</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114,210.22</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72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2,515,508.45</w:t>
            </w:r>
          </w:p>
        </w:tc>
        <w:tc>
          <w:tcPr>
            <w:tcW w:w="15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2,515,508.45</w:t>
            </w:r>
          </w:p>
        </w:tc>
        <w:tc>
          <w:tcPr>
            <w:tcW w:w="145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45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2,205.44</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1"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1155"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172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45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399" w:type="dxa"/>
            <w:gridSpan w:val="2"/>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71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30"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500" w:type="dxa"/>
            <w:gridSpan w:val="12"/>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vAlign w:val="bottom"/>
          </w:tcPr>
          <w:p>
            <w:pPr>
              <w:widowControl/>
              <w:jc w:val="left"/>
              <w:rPr>
                <w:rFonts w:ascii="Arial" w:hAnsi="Arial" w:cs="Arial"/>
                <w:color w:val="000000"/>
                <w:kern w:val="0"/>
                <w:sz w:val="20"/>
                <w:szCs w:val="20"/>
              </w:rPr>
            </w:pPr>
          </w:p>
        </w:tc>
        <w:tc>
          <w:tcPr>
            <w:tcW w:w="455" w:type="dxa"/>
            <w:tcBorders>
              <w:tl2br w:val="nil"/>
              <w:tr2bl w:val="nil"/>
            </w:tcBorders>
            <w:vAlign w:val="bottom"/>
          </w:tcPr>
          <w:p>
            <w:pPr>
              <w:widowControl/>
              <w:jc w:val="left"/>
              <w:rPr>
                <w:rFonts w:ascii="Arial" w:hAnsi="Arial" w:cs="Arial"/>
                <w:color w:val="000000"/>
                <w:kern w:val="0"/>
                <w:sz w:val="20"/>
                <w:szCs w:val="20"/>
              </w:rPr>
            </w:pPr>
          </w:p>
        </w:tc>
        <w:tc>
          <w:tcPr>
            <w:tcW w:w="455" w:type="dxa"/>
            <w:tcBorders>
              <w:tl2br w:val="nil"/>
              <w:tr2bl w:val="nil"/>
            </w:tcBorders>
            <w:vAlign w:val="bottom"/>
          </w:tcPr>
          <w:p>
            <w:pPr>
              <w:widowControl/>
              <w:jc w:val="left"/>
              <w:rPr>
                <w:rFonts w:ascii="Arial" w:hAnsi="Arial" w:cs="Arial"/>
                <w:color w:val="000000"/>
                <w:kern w:val="0"/>
                <w:sz w:val="20"/>
                <w:szCs w:val="20"/>
              </w:rPr>
            </w:pPr>
          </w:p>
        </w:tc>
        <w:tc>
          <w:tcPr>
            <w:tcW w:w="1609" w:type="dxa"/>
            <w:tcBorders>
              <w:tl2br w:val="nil"/>
              <w:tr2bl w:val="nil"/>
            </w:tcBorders>
            <w:vAlign w:val="bottom"/>
          </w:tcPr>
          <w:p>
            <w:pPr>
              <w:widowControl/>
              <w:jc w:val="left"/>
              <w:rPr>
                <w:rFonts w:ascii="Arial" w:hAnsi="Arial" w:cs="Arial"/>
                <w:color w:val="000000"/>
                <w:kern w:val="0"/>
                <w:sz w:val="20"/>
                <w:szCs w:val="20"/>
              </w:rPr>
            </w:pPr>
          </w:p>
        </w:tc>
        <w:tc>
          <w:tcPr>
            <w:tcW w:w="2114" w:type="dxa"/>
            <w:tcBorders>
              <w:tl2br w:val="nil"/>
              <w:tr2bl w:val="nil"/>
            </w:tcBorders>
            <w:vAlign w:val="bottom"/>
          </w:tcPr>
          <w:p>
            <w:pPr>
              <w:widowControl/>
              <w:jc w:val="left"/>
              <w:rPr>
                <w:rFonts w:ascii="Arial" w:hAnsi="Arial" w:cs="Arial"/>
                <w:color w:val="000000"/>
                <w:kern w:val="0"/>
                <w:sz w:val="20"/>
                <w:szCs w:val="20"/>
              </w:rPr>
            </w:pPr>
          </w:p>
        </w:tc>
        <w:tc>
          <w:tcPr>
            <w:tcW w:w="1500" w:type="dxa"/>
            <w:tcBorders>
              <w:tl2br w:val="nil"/>
              <w:tr2bl w:val="nil"/>
            </w:tcBorders>
            <w:vAlign w:val="bottom"/>
          </w:tcPr>
          <w:p>
            <w:pPr>
              <w:widowControl/>
              <w:jc w:val="left"/>
              <w:rPr>
                <w:rFonts w:ascii="Arial" w:hAnsi="Arial" w:cs="Arial"/>
                <w:color w:val="000000"/>
                <w:kern w:val="0"/>
                <w:sz w:val="20"/>
                <w:szCs w:val="20"/>
              </w:rPr>
            </w:pPr>
          </w:p>
        </w:tc>
        <w:tc>
          <w:tcPr>
            <w:tcW w:w="1500" w:type="dxa"/>
            <w:tcBorders>
              <w:tl2br w:val="nil"/>
              <w:tr2bl w:val="nil"/>
            </w:tcBorders>
            <w:vAlign w:val="bottom"/>
          </w:tcPr>
          <w:p>
            <w:pPr>
              <w:widowControl/>
              <w:jc w:val="left"/>
              <w:rPr>
                <w:rFonts w:ascii="Arial" w:hAnsi="Arial" w:cs="Arial"/>
                <w:color w:val="000000"/>
                <w:kern w:val="0"/>
                <w:sz w:val="20"/>
                <w:szCs w:val="20"/>
              </w:rPr>
            </w:pPr>
          </w:p>
        </w:tc>
        <w:tc>
          <w:tcPr>
            <w:tcW w:w="1620" w:type="dxa"/>
            <w:tcBorders>
              <w:tl2br w:val="nil"/>
              <w:tr2bl w:val="nil"/>
            </w:tcBorders>
            <w:vAlign w:val="bottom"/>
          </w:tcPr>
          <w:p>
            <w:pPr>
              <w:widowControl/>
              <w:jc w:val="left"/>
              <w:rPr>
                <w:rFonts w:ascii="Arial" w:hAnsi="Arial" w:cs="Arial"/>
                <w:color w:val="000000"/>
                <w:kern w:val="0"/>
                <w:sz w:val="20"/>
                <w:szCs w:val="20"/>
              </w:rPr>
            </w:pPr>
          </w:p>
        </w:tc>
        <w:tc>
          <w:tcPr>
            <w:tcW w:w="1872" w:type="dxa"/>
            <w:tcBorders>
              <w:tl2br w:val="nil"/>
              <w:tr2bl w:val="nil"/>
            </w:tcBorders>
            <w:vAlign w:val="bottom"/>
          </w:tcPr>
          <w:p>
            <w:pPr>
              <w:widowControl/>
              <w:jc w:val="left"/>
              <w:rPr>
                <w:rFonts w:ascii="Arial" w:hAnsi="Arial" w:cs="Arial"/>
                <w:color w:val="000000"/>
                <w:kern w:val="0"/>
                <w:sz w:val="20"/>
                <w:szCs w:val="20"/>
              </w:rPr>
            </w:pPr>
          </w:p>
        </w:tc>
        <w:tc>
          <w:tcPr>
            <w:tcW w:w="2502" w:type="dxa"/>
            <w:tcBorders>
              <w:tl2br w:val="nil"/>
              <w:tr2bl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48,415,917.82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3,927,259.67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44,488,658.15</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24,347,619.86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3,443,817.71</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20,903,802.15</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23,437,425.84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20,901,287.39</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7,641.00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7,641.00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115,817.02</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115,817.02</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2,536,138.45</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20,777,829.37</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902,118.70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327,881.44</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550,237.26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2,514.76</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5,560.56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180,229.96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4,380.00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175,849.96</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95,818.79</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80,031.17</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303,212.00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160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211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162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5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3"/>
        <w:gridCol w:w="435"/>
        <w:gridCol w:w="375"/>
        <w:gridCol w:w="280"/>
        <w:gridCol w:w="240"/>
        <w:gridCol w:w="3300"/>
        <w:gridCol w:w="610"/>
        <w:gridCol w:w="1558"/>
        <w:gridCol w:w="77"/>
        <w:gridCol w:w="1305"/>
        <w:gridCol w:w="860"/>
        <w:gridCol w:w="1009"/>
        <w:gridCol w:w="361"/>
        <w:gridCol w:w="2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5741"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546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8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8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546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8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418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558"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895"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0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9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3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3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3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0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24,797,828.90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33</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23,570,000.00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34</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14,856.00</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35</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36</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37</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38</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39</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24317742.06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24317742.06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180229.96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42</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43</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895"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44</w:t>
            </w:r>
          </w:p>
        </w:tc>
        <w:tc>
          <w:tcPr>
            <w:tcW w:w="163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45</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46</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895"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47</w:t>
            </w:r>
          </w:p>
        </w:tc>
        <w:tc>
          <w:tcPr>
            <w:tcW w:w="1635"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48</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49</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303212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53</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54</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895"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895"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63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48,382,684.90</w:t>
            </w:r>
          </w:p>
        </w:tc>
        <w:tc>
          <w:tcPr>
            <w:tcW w:w="330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eastAsia="宋体" w:cs="Arial"/>
                <w:color w:val="000000"/>
                <w:kern w:val="0"/>
                <w:sz w:val="18"/>
                <w:szCs w:val="18"/>
                <w:lang w:val="en-US" w:eastAsia="zh-CN" w:bidi="ar-SA"/>
              </w:rPr>
            </w:pP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48386040.02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24801184.02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32,717.24</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89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32,717.24</w:t>
            </w:r>
          </w:p>
        </w:tc>
        <w:tc>
          <w:tcPr>
            <w:tcW w:w="33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6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30</w:t>
            </w:r>
          </w:p>
        </w:tc>
        <w:tc>
          <w:tcPr>
            <w:tcW w:w="89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00"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63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0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31</w:t>
            </w:r>
          </w:p>
        </w:tc>
        <w:tc>
          <w:tcPr>
            <w:tcW w:w="89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00" w:type="dxa"/>
            <w:tcBorders>
              <w:top w:val="nil"/>
              <w:left w:val="nil"/>
              <w:bottom w:val="single" w:color="auto" w:sz="4" w:space="0"/>
              <w:right w:val="single" w:color="000000" w:sz="4" w:space="0"/>
            </w:tcBorders>
            <w:vAlign w:val="center"/>
          </w:tcPr>
          <w:p>
            <w:pPr>
              <w:widowControl/>
              <w:jc w:val="left"/>
              <w:rPr>
                <w:rFonts w:hint="eastAsia" w:ascii="宋体" w:hAnsi="宋体" w:cs="Arial"/>
                <w:color w:val="000000"/>
                <w:kern w:val="0"/>
                <w:sz w:val="18"/>
                <w:szCs w:val="18"/>
              </w:rPr>
            </w:pPr>
          </w:p>
        </w:tc>
        <w:tc>
          <w:tcPr>
            <w:tcW w:w="610" w:type="dxa"/>
            <w:tcBorders>
              <w:top w:val="nil"/>
              <w:left w:val="nil"/>
              <w:bottom w:val="single" w:color="auto" w:sz="4" w:space="0"/>
              <w:right w:val="single" w:color="000000"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635" w:type="dxa"/>
            <w:gridSpan w:val="2"/>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1305"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auto" w:sz="4" w:space="0"/>
              <w:right w:val="single" w:color="000000" w:sz="4" w:space="0"/>
            </w:tcBorders>
            <w:vAlign w:val="center"/>
          </w:tcPr>
          <w:p>
            <w:pPr>
              <w:widowControl/>
              <w:jc w:val="righ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32</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48,415,402.14</w:t>
            </w:r>
          </w:p>
        </w:tc>
        <w:tc>
          <w:tcPr>
            <w:tcW w:w="3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63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48415402.14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24830546.14　</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23570000　</w:t>
            </w:r>
          </w:p>
        </w:tc>
        <w:tc>
          <w:tcPr>
            <w:tcW w:w="247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14856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tbl>
      <w:tblPr>
        <w:tblStyle w:val="5"/>
        <w:tblW w:w="13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624"/>
        <w:gridCol w:w="624"/>
        <w:gridCol w:w="2213"/>
        <w:gridCol w:w="3339"/>
        <w:gridCol w:w="3046"/>
        <w:gridCol w:w="3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1384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7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408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3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6" w:type="dxa"/>
            <w:tcBorders>
              <w:top w:val="nil"/>
              <w:left w:val="nil"/>
              <w:bottom w:val="nil"/>
              <w:right w:val="nil"/>
            </w:tcBorders>
            <w:vAlign w:val="bottom"/>
          </w:tcPr>
          <w:p>
            <w:pPr>
              <w:widowControl/>
              <w:jc w:val="center"/>
              <w:rPr>
                <w:rFonts w:ascii="宋体" w:hAnsi="宋体" w:cs="Arial"/>
                <w:color w:val="000000"/>
                <w:kern w:val="0"/>
                <w:sz w:val="24"/>
              </w:rPr>
            </w:pPr>
          </w:p>
        </w:tc>
        <w:tc>
          <w:tcPr>
            <w:tcW w:w="337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408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33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304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37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1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7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2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2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2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2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33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4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3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2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32,717.24</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23,637.24</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27,637.24</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23,637.24</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24,282.12</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2080107</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20,282.12</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221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333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就业补助</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2080704</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3,355.12</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计划生育事务</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872"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2213"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3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04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37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384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6" w:tblpY="-721"/>
        <w:tblOverlap w:val="never"/>
        <w:tblW w:w="13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Arial"/>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tcMar>
              <w:top w:w="12" w:type="dxa"/>
              <w:left w:w="12" w:type="dxa"/>
              <w:right w:w="12" w:type="dxa"/>
            </w:tcMar>
            <w:vAlign w:val="center"/>
          </w:tcPr>
          <w:p>
            <w:pPr>
              <w:widowControl/>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rPr>
              <w:t>公开</w:t>
            </w:r>
            <w:r>
              <w:rPr>
                <w:rFonts w:hint="default" w:ascii="Arial" w:hAnsi="Arial" w:eastAsia="宋体" w:cs="Arial"/>
                <w:i w:val="0"/>
                <w:color w:val="000000"/>
                <w:kern w:val="0"/>
                <w:sz w:val="21"/>
                <w:szCs w:val="21"/>
                <w:u w:val="none"/>
                <w:lang w:val="en-US" w:eastAsia="zh-CN"/>
              </w:rPr>
              <w:t>部门：</w:t>
            </w:r>
          </w:p>
        </w:tc>
        <w:tc>
          <w:tcPr>
            <w:tcW w:w="7890" w:type="dxa"/>
            <w:gridSpan w:val="6"/>
            <w:tcBorders>
              <w:top w:val="nil"/>
              <w:left w:val="nil"/>
              <w:bottom w:val="nil"/>
              <w:right w:val="nil"/>
            </w:tcBorders>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tcMar>
              <w:top w:w="12" w:type="dxa"/>
              <w:left w:w="12" w:type="dxa"/>
              <w:right w:w="12" w:type="dxa"/>
            </w:tcMar>
            <w:vAlign w:val="center"/>
          </w:tcPr>
          <w:p>
            <w:pPr>
              <w:widowControl/>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金额单位：元</w:t>
            </w:r>
            <w:r>
              <w:rPr>
                <w:rFonts w:hint="eastAsia" w:ascii="宋体" w:hAnsi="宋体" w:eastAsia="宋体" w:cs="宋体"/>
                <w:i w:val="0"/>
                <w:vanish/>
                <w:color w:val="000000"/>
                <w:kern w:val="0"/>
                <w:sz w:val="21"/>
                <w:szCs w:val="21"/>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人员经费</w:t>
            </w:r>
          </w:p>
        </w:tc>
        <w:tc>
          <w:tcPr>
            <w:tcW w:w="9326" w:type="dxa"/>
            <w:gridSpan w:val="8"/>
            <w:tcBorders>
              <w:top w:val="single" w:color="auto" w:sz="8" w:space="0"/>
              <w:left w:val="single" w:color="auto" w:sz="4" w:space="0"/>
              <w:bottom w:val="single" w:color="auto" w:sz="4" w:space="0"/>
              <w:right w:val="single" w:color="auto" w:sz="8"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rPr>
              <w:t>金额</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rPr>
              <w:t>金额</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科目编码</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center"/>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科目名称</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widowControl/>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工资福利支出</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3523780.62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商品和服务支出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295134.93</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资本性支出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基本工资</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856556.53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55589.5</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津贴补贴</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409558.23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印刷费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10800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办公设备购置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696648.62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咨询费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专用设备购置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30106</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伙食补助费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75533.3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手续费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4402.2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31005</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基础设施建设</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30107</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绩效工资</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86973</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水费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31006</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大型修缮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30108</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327881.44</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电费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31007</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30109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职业年金缴费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550237.26</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邮电费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19385.29</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31008</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物资储备</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30110</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95818.79</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取暖费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31009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土地补偿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80031.17</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30209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物业管理费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安置补助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23199.28</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差旅费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8962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住房公积金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303212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拆迁补偿</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30114</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医疗费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18131</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维修(护)费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3850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公务用车购置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30199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租赁费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5000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31019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对个人和家庭的补助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75135.12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30215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会议费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31021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离休费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培训费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300</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30302</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退休费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24000</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公务接待费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30303</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退职（役）费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专用材料费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30304</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抚恤金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被装购置费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30305</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生活补助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30225</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专用燃料费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30306</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救济费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30226</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劳务费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31219.36</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30307</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医疗费补助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委托业务费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30308</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助学金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30228</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工会经费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11783.76</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奖励金</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福利费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30310</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个人农业生产补贴</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15445.22</w:t>
            </w: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51135.12</w:t>
            </w: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lef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经常性赠与</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39910</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资本性赠与</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债务利息及费用支出</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30701</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国内债务付息</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30702</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国外债务付息</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人员经费合计</w:t>
            </w:r>
          </w:p>
        </w:tc>
        <w:tc>
          <w:tcPr>
            <w:tcW w:w="11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default"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3598915.74</w:t>
            </w:r>
          </w:p>
        </w:tc>
        <w:tc>
          <w:tcPr>
            <w:tcW w:w="8280" w:type="dxa"/>
            <w:gridSpan w:val="7"/>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公用经费合计</w:t>
            </w:r>
          </w:p>
        </w:tc>
        <w:tc>
          <w:tcPr>
            <w:tcW w:w="10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295134.93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jc w:val="both"/>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合       计</w:t>
            </w:r>
          </w:p>
        </w:tc>
        <w:tc>
          <w:tcPr>
            <w:tcW w:w="10492" w:type="dxa"/>
            <w:gridSpan w:val="9"/>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jc w:val="both"/>
              <w:rPr>
                <w:rFonts w:hint="default" w:ascii="Arial" w:hAnsi="Arial" w:eastAsia="宋体" w:cs="Arial"/>
                <w:sz w:val="15"/>
                <w:szCs w:val="15"/>
                <w:lang w:val="en-US" w:eastAsia="zh-CN"/>
              </w:rPr>
            </w:pPr>
            <w:r>
              <w:rPr>
                <w:rFonts w:hint="eastAsia" w:ascii="Arial" w:hAnsi="Arial" w:cs="Arial"/>
                <w:sz w:val="15"/>
                <w:szCs w:val="15"/>
                <w:lang w:val="en-US" w:eastAsia="zh-CN"/>
              </w:rPr>
              <w:t>3894050.67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tcMar>
              <w:top w:w="12" w:type="dxa"/>
              <w:left w:w="12" w:type="dxa"/>
              <w:right w:w="12" w:type="dxa"/>
            </w:tcMar>
            <w:vAlign w:val="top"/>
          </w:tcPr>
          <w:p>
            <w:pPr>
              <w:widowControl w:val="0"/>
              <w:wordWrap/>
              <w:adjustRightInd/>
              <w:snapToGrid/>
              <w:spacing w:line="400" w:lineRule="exact"/>
              <w:ind w:left="0" w:leftChars="0" w:right="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eastAsia="宋体" w:cs="Arial"/>
                <w:sz w:val="15"/>
                <w:szCs w:val="15"/>
                <w:lang w:eastAsia="zh-CN"/>
              </w:rPr>
            </w:pPr>
          </w:p>
        </w:tc>
      </w:tr>
    </w:tbl>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237"/>
        </w:tabs>
        <w:jc w:val="left"/>
        <w:rPr>
          <w:rFonts w:hint="eastAsia" w:cs="黑体"/>
          <w:kern w:val="2"/>
          <w:sz w:val="21"/>
          <w:szCs w:val="24"/>
          <w:lang w:val="en-US" w:eastAsia="zh-CN" w:bidi="ar-SA"/>
        </w:rPr>
      </w:pPr>
      <w:r>
        <w:rPr>
          <w:rFonts w:hint="eastAsia" w:cs="黑体"/>
          <w:kern w:val="2"/>
          <w:sz w:val="21"/>
          <w:szCs w:val="24"/>
          <w:lang w:val="en-US" w:eastAsia="zh-CN" w:bidi="ar-SA"/>
        </w:rPr>
        <w:tab/>
      </w:r>
      <w:r>
        <w:rPr>
          <w:rFonts w:hint="eastAsia" w:cs="黑体"/>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黑体"/>
          <w:kern w:val="2"/>
          <w:sz w:val="21"/>
          <w:szCs w:val="24"/>
          <w:lang w:val="en-US" w:eastAsia="zh-CN" w:bidi="ar-SA"/>
        </w:rPr>
      </w:pPr>
    </w:p>
    <w:tbl>
      <w:tblPr>
        <w:tblStyle w:val="5"/>
        <w:tblW w:w="15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334"/>
        <w:gridCol w:w="638"/>
        <w:gridCol w:w="605"/>
        <w:gridCol w:w="172"/>
        <w:gridCol w:w="515"/>
        <w:gridCol w:w="1384"/>
        <w:gridCol w:w="234"/>
        <w:gridCol w:w="1637"/>
        <w:gridCol w:w="893"/>
        <w:gridCol w:w="1062"/>
        <w:gridCol w:w="146"/>
        <w:gridCol w:w="903"/>
        <w:gridCol w:w="201"/>
        <w:gridCol w:w="641"/>
        <w:gridCol w:w="538"/>
        <w:gridCol w:w="1080"/>
        <w:gridCol w:w="720"/>
        <w:gridCol w:w="898"/>
        <w:gridCol w:w="971"/>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财政拨款“三公”经费支出决算表</w:t>
            </w:r>
          </w:p>
          <w:p>
            <w:pPr>
              <w:widowControl/>
              <w:jc w:val="center"/>
              <w:rPr>
                <w:rFonts w:hint="eastAsia" w:ascii="宋体" w:hAnsi="宋体" w:cs="Arial"/>
                <w:b/>
                <w:bCs/>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3" w:type="dxa"/>
            <w:tcBorders>
              <w:top w:val="nil"/>
              <w:left w:val="nil"/>
              <w:bottom w:val="nil"/>
              <w:right w:val="nil"/>
            </w:tcBorders>
            <w:vAlign w:val="bottom"/>
          </w:tcPr>
          <w:p>
            <w:pPr>
              <w:widowControl/>
              <w:jc w:val="center"/>
              <w:rPr>
                <w:rFonts w:ascii="宋体" w:hAnsi="宋体" w:cs="Arial"/>
                <w:color w:val="000000"/>
                <w:kern w:val="0"/>
                <w:sz w:val="24"/>
              </w:rPr>
            </w:pPr>
          </w:p>
        </w:tc>
        <w:tc>
          <w:tcPr>
            <w:tcW w:w="10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11"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w:t>
            </w:r>
            <w:r>
              <w:rPr>
                <w:rFonts w:hint="eastAsia" w:ascii="宋体" w:hAnsi="宋体" w:cs="Arial"/>
                <w:color w:val="000000"/>
                <w:kern w:val="0"/>
                <w:sz w:val="22"/>
                <w:szCs w:val="22"/>
              </w:rPr>
              <w:t>年度预算数</w:t>
            </w:r>
          </w:p>
        </w:tc>
        <w:tc>
          <w:tcPr>
            <w:tcW w:w="7988"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w:t>
            </w:r>
            <w:r>
              <w:rPr>
                <w:rFonts w:hint="eastAsia" w:ascii="宋体" w:hAnsi="宋体" w:cs="Arial"/>
                <w:color w:val="000000"/>
                <w:kern w:val="0"/>
                <w:sz w:val="22"/>
                <w:szCs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7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54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9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0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84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7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77"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9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7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00"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6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7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9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9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0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7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80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25400</w:t>
            </w:r>
          </w:p>
        </w:tc>
        <w:tc>
          <w:tcPr>
            <w:tcW w:w="972"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77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25400</w:t>
            </w:r>
          </w:p>
        </w:tc>
        <w:tc>
          <w:tcPr>
            <w:tcW w:w="1899"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871"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25400</w:t>
            </w:r>
          </w:p>
        </w:tc>
        <w:tc>
          <w:tcPr>
            <w:tcW w:w="893"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20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15445.22</w:t>
            </w:r>
          </w:p>
        </w:tc>
        <w:tc>
          <w:tcPr>
            <w:tcW w:w="1104" w:type="dxa"/>
            <w:gridSpan w:val="2"/>
            <w:tcBorders>
              <w:top w:val="nil"/>
              <w:left w:val="nil"/>
              <w:bottom w:val="single" w:color="auto" w:sz="4" w:space="0"/>
              <w:right w:val="single" w:color="auto" w:sz="4" w:space="0"/>
            </w:tcBorders>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79"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15445.22</w:t>
            </w:r>
          </w:p>
        </w:tc>
        <w:tc>
          <w:tcPr>
            <w:tcW w:w="1800" w:type="dxa"/>
            <w:gridSpan w:val="2"/>
            <w:tcBorders>
              <w:top w:val="nil"/>
              <w:left w:val="nil"/>
              <w:bottom w:val="single" w:color="auto" w:sz="4" w:space="0"/>
              <w:right w:val="single" w:color="auto" w:sz="4" w:space="0"/>
            </w:tcBorders>
            <w:vAlign w:val="center"/>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69"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15445.22</w:t>
            </w:r>
          </w:p>
        </w:tc>
        <w:tc>
          <w:tcPr>
            <w:tcW w:w="828" w:type="dxa"/>
            <w:tcBorders>
              <w:top w:val="nil"/>
              <w:left w:val="nil"/>
              <w:bottom w:val="single" w:color="auto" w:sz="4" w:space="0"/>
              <w:right w:val="single" w:color="auto" w:sz="4" w:space="0"/>
            </w:tcBorders>
            <w:vAlign w:val="center"/>
          </w:tcPr>
          <w:p>
            <w:pPr>
              <w:widowControl/>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eastAsia="zh-CN"/>
              </w:rPr>
              <w:t>本表反映部门本年度财政拨款“三公”经费支出预决算情况。其中，2022</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eastAsia="宋体"/>
          <w:lang w:val="en-US" w:eastAsia="zh-CN"/>
        </w:rPr>
      </w:pPr>
    </w:p>
    <w:p>
      <w:pPr>
        <w:spacing w:line="580" w:lineRule="exact"/>
        <w:rPr>
          <w:rFonts w:hint="eastAsia"/>
        </w:rPr>
      </w:pPr>
    </w:p>
    <w:tbl>
      <w:tblPr>
        <w:tblStyle w:val="5"/>
        <w:tblW w:w="12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2120805</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补助被征地农民支出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15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23,570,000.00</w:t>
            </w:r>
          </w:p>
        </w:tc>
        <w:tc>
          <w:tcPr>
            <w:tcW w:w="23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Spec="center" w:tblpY="1104"/>
        <w:tblOverlap w:val="never"/>
        <w:tblW w:w="12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570"/>
        <w:gridCol w:w="570"/>
        <w:gridCol w:w="2018"/>
        <w:gridCol w:w="3045"/>
        <w:gridCol w:w="2779"/>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1262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3728"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0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9" w:type="dxa"/>
            <w:tcBorders>
              <w:top w:val="nil"/>
              <w:left w:val="nil"/>
              <w:bottom w:val="nil"/>
              <w:right w:val="nil"/>
            </w:tcBorders>
            <w:vAlign w:val="bottom"/>
          </w:tcPr>
          <w:p>
            <w:pPr>
              <w:widowControl/>
              <w:jc w:val="center"/>
              <w:rPr>
                <w:rFonts w:ascii="宋体" w:hAnsi="宋体" w:cs="Arial"/>
                <w:color w:val="000000"/>
                <w:kern w:val="0"/>
                <w:sz w:val="24"/>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3728"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0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7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06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7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7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7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7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0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0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7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1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2230105</w:t>
            </w:r>
          </w:p>
        </w:tc>
        <w:tc>
          <w:tcPr>
            <w:tcW w:w="201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304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27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14,856.00</w:t>
            </w:r>
          </w:p>
        </w:tc>
        <w:tc>
          <w:tcPr>
            <w:tcW w:w="30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262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pgNumType w:fmt="decimal"/>
          <w:cols w:space="72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22</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年度收</w:t>
      </w:r>
      <w:r>
        <w:rPr>
          <w:rFonts w:hint="eastAsia" w:ascii="仿宋_GB2312" w:hAnsi="宋体" w:eastAsia="仿宋_GB2312"/>
          <w:kern w:val="0"/>
          <w:sz w:val="32"/>
          <w:szCs w:val="32"/>
          <w:lang w:eastAsia="zh-CN"/>
        </w:rPr>
        <w:t>入</w:t>
      </w:r>
      <w:r>
        <w:rPr>
          <w:rFonts w:ascii="仿宋_GB2312" w:hAnsi="宋体" w:eastAsia="仿宋_GB2312"/>
          <w:b/>
          <w:bCs/>
          <w:kern w:val="0"/>
          <w:sz w:val="32"/>
          <w:szCs w:val="32"/>
        </w:rPr>
        <w:t>总计</w:t>
      </w:r>
      <w:r>
        <w:rPr>
          <w:rFonts w:hint="eastAsia" w:ascii="仿宋_GB2312" w:hAnsi="宋体" w:eastAsia="仿宋_GB2312"/>
          <w:kern w:val="0"/>
          <w:sz w:val="32"/>
          <w:szCs w:val="32"/>
        </w:rPr>
        <w:t>49075349.16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，支出</w:t>
      </w:r>
      <w:r>
        <w:rPr>
          <w:rFonts w:ascii="仿宋_GB2312" w:hAnsi="宋体" w:eastAsia="仿宋_GB2312"/>
          <w:b/>
          <w:bCs/>
          <w:kern w:val="0"/>
          <w:sz w:val="32"/>
          <w:szCs w:val="32"/>
        </w:rPr>
        <w:t>总计</w:t>
      </w:r>
      <w:r>
        <w:rPr>
          <w:rFonts w:hint="eastAsia" w:ascii="仿宋_GB2312" w:hAnsi="宋体" w:eastAsia="仿宋_GB2312"/>
          <w:kern w:val="0"/>
          <w:sz w:val="32"/>
          <w:szCs w:val="32"/>
        </w:rPr>
        <w:t>49075349.16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w:t>
      </w:r>
      <w:r>
        <w:rPr>
          <w:rFonts w:ascii="仿宋_GB2312" w:hAnsi="宋体" w:eastAsia="仿宋_GB2312"/>
          <w:b/>
          <w:bCs/>
          <w:kern w:val="0"/>
          <w:sz w:val="32"/>
          <w:szCs w:val="32"/>
        </w:rPr>
        <w:t>总计</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7563776.11</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13.51</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政府性基金预算减少</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48432684.9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48382684.9元，占</w:t>
      </w:r>
      <w:r>
        <w:rPr>
          <w:rFonts w:hint="eastAsia" w:ascii="仿宋_GB2312" w:hAnsi="宋体" w:eastAsia="仿宋_GB2312" w:cs="Times New Roman"/>
          <w:color w:val="auto"/>
          <w:sz w:val="32"/>
          <w:szCs w:val="32"/>
          <w:lang w:val="en-US" w:eastAsia="zh-CN"/>
        </w:rPr>
        <w:t>99.9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50000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年度支出合计</w:t>
      </w:r>
      <w:r>
        <w:rPr>
          <w:rFonts w:hint="eastAsia" w:ascii="仿宋_GB2312" w:hAnsi="宋体" w:eastAsia="仿宋_GB2312"/>
          <w:kern w:val="0"/>
          <w:sz w:val="32"/>
          <w:szCs w:val="32"/>
        </w:rPr>
        <w:t>48415917.82</w:t>
      </w:r>
      <w:r>
        <w:rPr>
          <w:rFonts w:ascii="仿宋_GB2312" w:hAnsi="宋体" w:eastAsia="仿宋_GB2312"/>
          <w:kern w:val="0"/>
          <w:sz w:val="32"/>
          <w:szCs w:val="32"/>
        </w:rPr>
        <w:t>元，其中：基本支出</w:t>
      </w:r>
      <w:r>
        <w:rPr>
          <w:rFonts w:hint="eastAsia" w:ascii="仿宋_GB2312" w:hAnsi="宋体" w:eastAsia="仿宋_GB2312"/>
          <w:kern w:val="0"/>
          <w:sz w:val="32"/>
          <w:szCs w:val="32"/>
        </w:rPr>
        <w:t>3927259.67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8.11</w:t>
      </w:r>
      <w:r>
        <w:rPr>
          <w:rFonts w:ascii="仿宋_GB2312" w:hAnsi="宋体" w:eastAsia="仿宋_GB2312"/>
          <w:kern w:val="0"/>
          <w:sz w:val="32"/>
          <w:szCs w:val="32"/>
        </w:rPr>
        <w:t>%；项目支出</w:t>
      </w:r>
      <w:r>
        <w:rPr>
          <w:rFonts w:hint="eastAsia" w:ascii="仿宋_GB2312" w:hAnsi="宋体" w:eastAsia="仿宋_GB2312"/>
          <w:kern w:val="0"/>
          <w:sz w:val="32"/>
          <w:szCs w:val="32"/>
        </w:rPr>
        <w:t>44488658.15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91.89</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0"/>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、支</w:t>
      </w:r>
      <w:r>
        <w:rPr>
          <w:rFonts w:ascii="仿宋_GB2312" w:hAnsi="宋体" w:eastAsia="仿宋_GB2312"/>
          <w:kern w:val="0"/>
          <w:sz w:val="32"/>
          <w:szCs w:val="32"/>
        </w:rPr>
        <w:t>总计</w:t>
      </w:r>
      <w:r>
        <w:rPr>
          <w:rFonts w:hint="eastAsia" w:ascii="仿宋_GB2312" w:hAnsi="宋体" w:eastAsia="仿宋_GB2312"/>
          <w:kern w:val="0"/>
          <w:sz w:val="32"/>
          <w:szCs w:val="32"/>
        </w:rPr>
        <w:t>48382684.9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w:t>
      </w:r>
      <w:r>
        <w:rPr>
          <w:rFonts w:hint="eastAsia" w:ascii="仿宋_GB2312" w:hAnsi="宋体" w:eastAsia="仿宋_GB2312"/>
          <w:kern w:val="0"/>
          <w:sz w:val="32"/>
          <w:szCs w:val="32"/>
          <w:lang w:val="en-US" w:eastAsia="zh-CN"/>
        </w:rPr>
        <w:t>减少7548201.25</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13.5</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政府性基金预算支出减少</w:t>
      </w:r>
      <w:r>
        <w:rPr>
          <w:rFonts w:ascii="仿宋_GB2312" w:hAnsi="宋体" w:eastAsia="仿宋_GB2312"/>
          <w:kern w:val="0"/>
          <w:sz w:val="32"/>
          <w:szCs w:val="32"/>
        </w:rPr>
        <w:t>。</w:t>
      </w:r>
    </w:p>
    <w:p>
      <w:pPr>
        <w:spacing w:line="540" w:lineRule="exact"/>
        <w:ind w:firstLine="321" w:firstLineChars="1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财政拨款支出24797828.9元，占本年支出合计的</w:t>
      </w:r>
      <w:r>
        <w:rPr>
          <w:rFonts w:hint="eastAsia" w:ascii="仿宋_GB2312" w:hAnsi="仿宋_GB2312" w:eastAsia="仿宋_GB2312" w:cs="仿宋_GB2312"/>
          <w:kern w:val="0"/>
          <w:sz w:val="32"/>
          <w:szCs w:val="32"/>
          <w:lang w:val="en-US" w:eastAsia="zh-CN"/>
        </w:rPr>
        <w:t>51.25</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仿宋_GB2312" w:eastAsia="仿宋_GB2312" w:cs="仿宋_GB2312"/>
          <w:kern w:val="0"/>
          <w:sz w:val="32"/>
          <w:szCs w:val="32"/>
          <w:lang w:val="en-US" w:eastAsia="zh-CN"/>
        </w:rPr>
        <w:t>134461.77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0.54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社保参保人员人数、人次浮动变化</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财政拨款支出24797828.9元，主要用于以下方面：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如：社会保障和就业（类）支出24317742.06元，占</w:t>
      </w:r>
      <w:r>
        <w:rPr>
          <w:rFonts w:hint="eastAsia" w:ascii="仿宋_GB2312" w:hAnsi="仿宋_GB2312" w:eastAsia="仿宋_GB2312" w:cs="仿宋_GB2312"/>
          <w:kern w:val="0"/>
          <w:sz w:val="32"/>
          <w:szCs w:val="32"/>
          <w:lang w:val="en-US" w:eastAsia="zh-CN"/>
        </w:rPr>
        <w:t>98.06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（类）支出180229.96元，占</w:t>
      </w:r>
      <w:r>
        <w:rPr>
          <w:rFonts w:hint="eastAsia" w:ascii="仿宋_GB2312" w:hAnsi="仿宋_GB2312" w:eastAsia="仿宋_GB2312" w:cs="仿宋_GB2312"/>
          <w:kern w:val="0"/>
          <w:sz w:val="32"/>
          <w:szCs w:val="32"/>
          <w:lang w:val="en-US" w:eastAsia="zh-CN"/>
        </w:rPr>
        <w:t>0.74</w:t>
      </w:r>
      <w:r>
        <w:rPr>
          <w:rFonts w:hint="eastAsia" w:ascii="仿宋_GB2312" w:hAnsi="仿宋_GB2312" w:eastAsia="仿宋_GB2312" w:cs="仿宋_GB2312"/>
          <w:kern w:val="0"/>
          <w:sz w:val="32"/>
          <w:szCs w:val="32"/>
        </w:rPr>
        <w:t>%；住房保障（类）支出303212元，占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财政拨款支出年初预算为155077524.95元，支出决算为24797828.9元，完成年初预算的</w:t>
      </w:r>
      <w:r>
        <w:rPr>
          <w:rFonts w:hint="eastAsia" w:ascii="仿宋_GB2312" w:hAnsi="仿宋_GB2312" w:eastAsia="仿宋_GB2312" w:cs="仿宋_GB2312"/>
          <w:kern w:val="0"/>
          <w:sz w:val="32"/>
          <w:szCs w:val="32"/>
          <w:lang w:val="en-US" w:eastAsia="zh-CN"/>
        </w:rPr>
        <w:t>15.99</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（以下要将支出决算按所涉及的支出功能科目，逐项说明具体支出决算情况，及</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小于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社会保障和就业支出。</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154760284.57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24317742.06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15.71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lang w:val="en-US" w:eastAsia="zh-CN"/>
        </w:rPr>
        <w:t>预算科目调整，部分一般公共预算纳入政府性基金预算中</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城乡社区支出。</w:t>
      </w:r>
      <w:r>
        <w:rPr>
          <w:rFonts w:hint="eastAsia" w:ascii="仿宋_GB2312" w:hAnsi="仿宋_GB2312" w:eastAsia="仿宋_GB2312" w:cs="仿宋_GB2312"/>
          <w:kern w:val="0"/>
          <w:sz w:val="32"/>
          <w:szCs w:val="32"/>
        </w:rPr>
        <w:t>年初预算为23570000元，支出决算为23570000元，完成年初预算的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相同。</w:t>
      </w:r>
    </w:p>
    <w:p>
      <w:pPr>
        <w:numPr>
          <w:ilvl w:val="0"/>
          <w:numId w:val="3"/>
        </w:num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住房保障支出。</w:t>
      </w:r>
      <w:r>
        <w:rPr>
          <w:rFonts w:hint="eastAsia" w:ascii="仿宋_GB2312" w:hAnsi="仿宋_GB2312" w:eastAsia="仿宋_GB2312" w:cs="仿宋_GB2312"/>
          <w:kern w:val="0"/>
          <w:sz w:val="32"/>
          <w:szCs w:val="32"/>
        </w:rPr>
        <w:t>年初预算为139597元，支出决算为303212元，完成年初预算的</w:t>
      </w:r>
      <w:r>
        <w:rPr>
          <w:rFonts w:hint="eastAsia" w:ascii="仿宋_GB2312" w:hAnsi="仿宋_GB2312" w:eastAsia="仿宋_GB2312" w:cs="仿宋_GB2312"/>
          <w:kern w:val="0"/>
          <w:sz w:val="32"/>
          <w:szCs w:val="32"/>
          <w:lang w:val="en-US" w:eastAsia="zh-CN"/>
        </w:rPr>
        <w:t>217.21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val="en-US" w:eastAsia="zh-CN"/>
        </w:rPr>
        <w:t>人员变动调整，工资增资变化等因素</w:t>
      </w:r>
      <w:r>
        <w:rPr>
          <w:rFonts w:hint="eastAsia" w:ascii="仿宋_GB2312" w:hAnsi="仿宋_GB2312" w:eastAsia="仿宋_GB2312" w:cs="仿宋_GB2312"/>
          <w:kern w:val="0"/>
          <w:sz w:val="32"/>
          <w:szCs w:val="32"/>
          <w:lang w:eastAsia="zh-CN"/>
        </w:rPr>
        <w:t>。</w:t>
      </w:r>
    </w:p>
    <w:p>
      <w:pPr>
        <w:widowControl/>
        <w:numPr>
          <w:ilvl w:val="0"/>
          <w:numId w:val="3"/>
        </w:numPr>
        <w:wordWrap/>
        <w:adjustRightInd/>
        <w:snapToGrid/>
        <w:spacing w:line="400" w:lineRule="exact"/>
        <w:ind w:left="0" w:leftChars="0" w:right="0" w:firstLine="611" w:firstLineChars="191"/>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国有资本经营预算支出</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元，支出决算为14856元，完成年初预算的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val="en-US" w:eastAsia="zh-CN"/>
        </w:rPr>
        <w:t>年中职责划分，将国有企业退休人员管理移交至我中心。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年度一般公共预算财政拨款基本支出3906629.67元，</w:t>
      </w:r>
      <w:r>
        <w:rPr>
          <w:rFonts w:ascii="仿宋_GB2312" w:hAnsi="宋体" w:eastAsia="仿宋_GB2312"/>
          <w:sz w:val="32"/>
          <w:szCs w:val="32"/>
        </w:rPr>
        <w:t>其中：人员经费</w:t>
      </w:r>
      <w:r>
        <w:rPr>
          <w:rFonts w:hint="eastAsia" w:ascii="仿宋_GB2312" w:hAnsi="宋体" w:eastAsia="仿宋_GB2312"/>
          <w:sz w:val="32"/>
          <w:szCs w:val="32"/>
        </w:rPr>
        <w:t>3598915.74</w:t>
      </w:r>
      <w:r>
        <w:rPr>
          <w:rFonts w:ascii="仿宋_GB2312" w:hAnsi="宋体" w:eastAsia="仿宋_GB2312"/>
          <w:sz w:val="32"/>
          <w:szCs w:val="32"/>
        </w:rPr>
        <w:t>元，公用经费</w:t>
      </w:r>
      <w:r>
        <w:rPr>
          <w:rFonts w:hint="eastAsia" w:ascii="仿宋_GB2312" w:hAnsi="宋体" w:eastAsia="仿宋_GB2312"/>
          <w:sz w:val="32"/>
          <w:szCs w:val="32"/>
        </w:rPr>
        <w:t>307713.93</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lvl w:val="0"/>
          <w:numId w:val="0"/>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工资福利支出3526295.38元，较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903629.45</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20.40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商品和服务支出570000.32元，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128708.61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29.16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对个人和家庭的补助44292143.12元，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6781801.69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13.28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无数据</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资本性支出27479元，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eastAsia="仿宋_GB2312" w:cs="仿宋_GB2312"/>
          <w:sz w:val="32"/>
          <w:szCs w:val="32"/>
        </w:rPr>
        <w:t>27479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依据年度内工作计划调整</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5689</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17.15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无数据</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七、财政拨款“三公”经费支出决算情况说明</w:t>
      </w:r>
    </w:p>
    <w:p>
      <w:pPr>
        <w:numPr>
          <w:ilvl w:val="0"/>
          <w:numId w:val="4"/>
        </w:num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“三公”经费财政拨款支出决算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numPr>
          <w:ilvl w:val="0"/>
          <w:numId w:val="0"/>
        </w:numPr>
        <w:autoSpaceDE w:val="0"/>
        <w:autoSpaceDN w:val="0"/>
        <w:adjustRightInd w:val="0"/>
        <w:spacing w:line="5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年度“三公”经费财政拨款支出预算为25400元，支出决算为15445.22元，完成预算的</w:t>
      </w:r>
      <w:r>
        <w:rPr>
          <w:rFonts w:hint="eastAsia" w:ascii="仿宋_GB2312" w:hAnsi="仿宋_GB2312" w:eastAsia="仿宋_GB2312" w:cs="仿宋_GB2312"/>
          <w:kern w:val="0"/>
          <w:sz w:val="32"/>
          <w:szCs w:val="32"/>
          <w:lang w:val="en-US" w:eastAsia="zh-CN"/>
        </w:rPr>
        <w:t>60.81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年度“三公”经费支出决算数小于预算数的主要原因：</w:t>
      </w:r>
      <w:r>
        <w:rPr>
          <w:rFonts w:hint="eastAsia" w:ascii="仿宋_GB2312" w:hAnsi="仿宋_GB2312" w:eastAsia="仿宋_GB2312" w:cs="仿宋_GB2312"/>
          <w:kern w:val="0"/>
          <w:sz w:val="32"/>
          <w:szCs w:val="32"/>
          <w:lang w:val="en-US" w:eastAsia="zh-CN"/>
        </w:rPr>
        <w:t>厉行节约</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年度“三公”经费财政拨款支出决算数比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204.11</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公车超期运行，车辆维修费用增大</w:t>
      </w:r>
      <w:r>
        <w:rPr>
          <w:rFonts w:hint="eastAsia" w:ascii="仿宋_GB2312" w:hAnsi="仿宋_GB2312" w:eastAsia="仿宋_GB2312" w:cs="仿宋_GB2312"/>
          <w:kern w:val="0"/>
          <w:sz w:val="32"/>
          <w:szCs w:val="32"/>
        </w:rPr>
        <w:t>。</w:t>
      </w:r>
    </w:p>
    <w:p>
      <w:pPr>
        <w:pStyle w:val="8"/>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（二）“三公”经费财政拨款支出决算具体情况说明。</w:t>
      </w:r>
    </w:p>
    <w:p>
      <w:pPr>
        <w:autoSpaceDE w:val="0"/>
        <w:autoSpaceDN w:val="0"/>
        <w:adjustRightInd w:val="0"/>
        <w:spacing w:line="540" w:lineRule="exact"/>
        <w:ind w:firstLine="659"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年初预算为</w:t>
      </w:r>
      <w:r>
        <w:rPr>
          <w:rFonts w:hint="eastAsia" w:ascii="仿宋_GB2312" w:hAnsi="仿宋_GB2312" w:eastAsia="仿宋_GB2312" w:cs="仿宋_GB2312"/>
          <w:kern w:val="0"/>
          <w:sz w:val="32"/>
          <w:szCs w:val="32"/>
        </w:rPr>
        <w:t>25400元，支出决算为15445.22元，完成预算的</w:t>
      </w:r>
      <w:r>
        <w:rPr>
          <w:rFonts w:hint="eastAsia" w:ascii="仿宋_GB2312" w:hAnsi="仿宋_GB2312" w:eastAsia="仿宋_GB2312" w:cs="仿宋_GB2312"/>
          <w:kern w:val="0"/>
          <w:sz w:val="32"/>
          <w:szCs w:val="32"/>
          <w:lang w:val="en-US" w:eastAsia="zh-CN"/>
        </w:rPr>
        <w:t>60.81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204.11</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。决算数小于预算数的主要原因是</w:t>
      </w:r>
      <w:r>
        <w:rPr>
          <w:rFonts w:hint="eastAsia" w:ascii="仿宋_GB2312" w:hAnsi="仿宋_GB2312" w:eastAsia="仿宋_GB2312" w:cs="仿宋_GB2312"/>
          <w:kern w:val="0"/>
          <w:sz w:val="32"/>
          <w:szCs w:val="32"/>
          <w:lang w:val="en-US" w:eastAsia="zh-CN"/>
        </w:rPr>
        <w:t>厉行节约，减少公车运行</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决算数较上年减少（增加）的主要原因是</w:t>
      </w:r>
      <w:r>
        <w:rPr>
          <w:rFonts w:hint="eastAsia" w:ascii="仿宋_GB2312" w:hAnsi="仿宋_GB2312" w:eastAsia="仿宋_GB2312" w:cs="仿宋_GB2312"/>
          <w:kern w:val="0"/>
          <w:sz w:val="32"/>
          <w:szCs w:val="32"/>
          <w:lang w:val="en-US" w:eastAsia="zh-CN"/>
        </w:rPr>
        <w:t>公车超期运行，车辆维修费用增大</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8"/>
        <w:wordWrap/>
        <w:snapToGrid/>
        <w:spacing w:line="54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2022</w:t>
      </w:r>
      <w:r>
        <w:rPr>
          <w:rFonts w:hint="eastAsia" w:ascii="仿宋_GB2312" w:hAnsi="宋体" w:eastAsia="仿宋_GB2312" w:cs="Times New Roman"/>
          <w:color w:val="auto"/>
          <w:sz w:val="32"/>
          <w:szCs w:val="32"/>
        </w:rPr>
        <w:t>年度政府性基金预算财政拨款</w:t>
      </w:r>
      <w:r>
        <w:rPr>
          <w:rFonts w:hint="eastAsia" w:ascii="仿宋_GB2312" w:hAnsi="宋体" w:eastAsia="仿宋_GB2312" w:cs="Times New Roman"/>
          <w:color w:val="auto"/>
          <w:sz w:val="32"/>
          <w:szCs w:val="32"/>
          <w:lang w:eastAsia="zh-CN"/>
        </w:rPr>
        <w:t>年初结转和结余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元，本年收入23570000元，本年支出23570000元，年末结转和结余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7428595.48</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23.96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政府性基金预算随人员变动、参保成效确定支出</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 xml:space="preserve">支出具体情况如下： </w:t>
      </w:r>
      <w:r>
        <w:rPr>
          <w:rFonts w:hint="eastAsia" w:ascii="仿宋_GB2312" w:hAnsi="宋体" w:eastAsia="仿宋_GB2312" w:cs="Times New Roman"/>
          <w:color w:val="auto"/>
          <w:sz w:val="32"/>
          <w:szCs w:val="32"/>
          <w:lang w:val="en-US" w:eastAsia="zh-CN"/>
        </w:rPr>
        <w:t>用于</w:t>
      </w:r>
      <w:r>
        <w:rPr>
          <w:rFonts w:hint="eastAsia" w:ascii="仿宋_GB2312" w:hAnsi="宋体" w:eastAsia="仿宋_GB2312" w:cs="Times New Roman"/>
          <w:color w:val="auto"/>
          <w:sz w:val="32"/>
          <w:szCs w:val="32"/>
        </w:rPr>
        <w:t>补助被征地农民</w:t>
      </w:r>
      <w:r>
        <w:rPr>
          <w:rFonts w:hint="eastAsia" w:ascii="仿宋_GB2312" w:hAnsi="宋体" w:eastAsia="仿宋_GB2312" w:cs="Times New Roman"/>
          <w:color w:val="auto"/>
          <w:sz w:val="32"/>
          <w:szCs w:val="32"/>
          <w:lang w:val="en-US" w:eastAsia="zh-CN"/>
        </w:rPr>
        <w:t>养老保险</w:t>
      </w:r>
      <w:r>
        <w:rPr>
          <w:rFonts w:hint="eastAsia" w:ascii="仿宋_GB2312" w:hAnsi="宋体" w:eastAsia="仿宋_GB2312" w:cs="Times New Roman"/>
          <w:color w:val="auto"/>
          <w:sz w:val="32"/>
          <w:szCs w:val="32"/>
        </w:rPr>
        <w:t>支出23570000</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8"/>
        <w:numPr>
          <w:ilvl w:val="0"/>
          <w:numId w:val="0"/>
        </w:numPr>
        <w:wordWrap/>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8"/>
        <w:numPr>
          <w:ilvl w:val="0"/>
          <w:numId w:val="0"/>
        </w:numPr>
        <w:wordWrap/>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2022年度国有资本经营预算财政拨款本年收入50000元，支出</w:t>
      </w:r>
      <w:r>
        <w:rPr>
          <w:rFonts w:hint="eastAsia" w:hAnsi="宋体" w:eastAsia="仿宋_GB2312" w:cs="Arial"/>
          <w:color w:val="000000"/>
          <w:kern w:val="0"/>
          <w:sz w:val="18"/>
          <w:szCs w:val="18"/>
          <w:lang w:val="en-US" w:eastAsia="zh-CN"/>
        </w:rPr>
        <w:t>14856</w:t>
      </w:r>
      <w:r>
        <w:rPr>
          <w:rFonts w:hint="eastAsia" w:ascii="仿宋_GB2312" w:hAnsi="宋体" w:eastAsia="仿宋_GB2312" w:cs="Times New Roman"/>
          <w:color w:val="auto"/>
          <w:sz w:val="32"/>
          <w:szCs w:val="32"/>
          <w:lang w:val="en-US" w:eastAsia="zh-CN"/>
        </w:rPr>
        <w:t>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35144</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2021</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14856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：2022年此项工作移交至我中心。</w:t>
      </w:r>
    </w:p>
    <w:p>
      <w:pPr>
        <w:pStyle w:val="2"/>
        <w:widowControl w:val="0"/>
        <w:wordWrap/>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widowControl w:val="0"/>
        <w:wordWrap/>
        <w:adjustRightInd/>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wordWrap/>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本部门机关运行经费支出328343.93元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146115.78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30.8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人员变动，导致运行经费减少</w:t>
      </w:r>
      <w:r>
        <w:rPr>
          <w:rFonts w:hint="eastAsia" w:ascii="仿宋_GB2312" w:hAnsi="仿宋_GB2312" w:eastAsia="仿宋_GB2312" w:cs="仿宋_GB2312"/>
          <w:kern w:val="0"/>
          <w:sz w:val="32"/>
          <w:szCs w:val="32"/>
        </w:rPr>
        <w:t xml:space="preserve">。 </w:t>
      </w:r>
    </w:p>
    <w:p>
      <w:pPr>
        <w:wordWrap/>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wordWrap/>
        <w:snapToGrid/>
        <w:spacing w:line="540" w:lineRule="exact"/>
        <w:ind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71491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，占授予中小企业合同金额的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，货物采购授予中小企业合同金额占货物支出金额的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，工程采购授予中小企业合同金额占工程支出金额的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，服务采购授予中小企业合同金额占服务支出金额的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ordWrap/>
        <w:adjustRightInd/>
        <w:snapToGrid/>
        <w:spacing w:line="580" w:lineRule="exact"/>
        <w:ind w:left="0" w:leftChars="0"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640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eastAsia="zh-CN"/>
        </w:rPr>
        <w:t>机要通信用车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、应急保障用车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、其他用车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wordWrap/>
        <w:adjustRightInd/>
        <w:snapToGrid/>
        <w:spacing w:line="580" w:lineRule="exact"/>
        <w:ind w:left="0" w:leftChars="0" w:right="0" w:firstLine="643"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本部门组织对</w:t>
      </w:r>
      <w:r>
        <w:rPr>
          <w:rFonts w:hint="eastAsia" w:ascii="仿宋_GB2312" w:hAnsi="仿宋_GB2312" w:eastAsia="仿宋_GB2312" w:cs="仿宋_GB2312"/>
          <w:kern w:val="0"/>
          <w:sz w:val="32"/>
          <w:szCs w:val="32"/>
          <w:lang w:val="en-US" w:eastAsia="zh-CN"/>
        </w:rPr>
        <w:t>2022年度项目支出</w:t>
      </w:r>
      <w:r>
        <w:rPr>
          <w:rFonts w:hint="eastAsia" w:ascii="仿宋_GB2312" w:hAnsi="仿宋_GB2312" w:eastAsia="仿宋_GB2312" w:cs="仿宋_GB2312"/>
          <w:kern w:val="0"/>
          <w:sz w:val="32"/>
          <w:szCs w:val="32"/>
        </w:rPr>
        <w:t>开展绩效自评。其中</w:t>
      </w:r>
      <w:r>
        <w:rPr>
          <w:rFonts w:hint="eastAsia" w:ascii="仿宋_GB2312" w:hAnsi="仿宋_GB2312" w:eastAsia="仿宋_GB2312" w:cs="仿宋_GB2312"/>
          <w:kern w:val="0"/>
          <w:sz w:val="32"/>
          <w:szCs w:val="32"/>
          <w:lang w:eastAsia="zh-CN"/>
        </w:rPr>
        <w:t>：一般公共预算项目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，包含</w:t>
      </w:r>
      <w:r>
        <w:rPr>
          <w:rFonts w:hint="eastAsia" w:ascii="仿宋_GB2312" w:hAnsi="仿宋_GB2312" w:eastAsia="仿宋_GB2312" w:cs="仿宋_GB2312"/>
          <w:kern w:val="0"/>
          <w:sz w:val="32"/>
          <w:szCs w:val="32"/>
        </w:rPr>
        <w:t>一级项目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2150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lang w:val="en-US" w:eastAsia="zh-CN"/>
        </w:rPr>
        <w:t>项目支出总额的86.7%</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政府性基金预算项目1个，涉及资金2357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pPr>
        <w:widowControl/>
        <w:wordWrap/>
        <w:adjustRightInd/>
        <w:snapToGrid/>
        <w:spacing w:line="580" w:lineRule="exact"/>
        <w:ind w:left="0" w:leftChars="0" w:right="0"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lang w:val="en-US" w:eastAsia="zh-CN"/>
        </w:rPr>
        <w:t>2.项目绩效自评结果。</w:t>
      </w:r>
      <w:r>
        <w:rPr>
          <w:rFonts w:hint="eastAsia" w:ascii="仿宋_GB2312" w:hAnsi="仿宋_GB2312" w:eastAsia="仿宋_GB2312" w:cs="仿宋_GB2312"/>
          <w:kern w:val="0"/>
          <w:sz w:val="32"/>
          <w:szCs w:val="32"/>
        </w:rPr>
        <w:t>根据年初设定的绩效目标，项目自评得分为</w:t>
      </w:r>
      <w:r>
        <w:rPr>
          <w:rFonts w:hint="eastAsia" w:ascii="仿宋_GB2312" w:hAnsi="仿宋_GB2312" w:eastAsia="仿宋_GB2312" w:cs="仿宋_GB2312"/>
          <w:kern w:val="0"/>
          <w:sz w:val="32"/>
          <w:szCs w:val="32"/>
          <w:lang w:val="en-US" w:eastAsia="zh-CN"/>
        </w:rPr>
        <w:t>90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val="en-US" w:eastAsia="zh-CN"/>
        </w:rPr>
        <w:t>预算不精确</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加大预算审核、复核，确保预算精确</w:t>
      </w:r>
      <w:r>
        <w:rPr>
          <w:rFonts w:hint="eastAsia" w:ascii="仿宋_GB2312" w:hAnsi="仿宋_GB2312" w:eastAsia="仿宋_GB2312" w:cs="仿宋_GB2312"/>
          <w:kern w:val="0"/>
          <w:sz w:val="32"/>
          <w:szCs w:val="32"/>
        </w:rPr>
        <w:t>。</w:t>
      </w: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rPr>
      </w:pP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wordWrap/>
        <w:adjustRightInd/>
        <w:snapToGrid/>
        <w:spacing w:line="400" w:lineRule="exact"/>
        <w:ind w:left="0" w:leftChars="0" w:right="0"/>
        <w:textAlignment w:val="auto"/>
        <w:rPr>
          <w:rFonts w:hint="eastAsia" w:eastAsia="宋体"/>
          <w:lang w:val="en-US" w:eastAsia="zh-CN"/>
        </w:rPr>
      </w:pPr>
      <w:r>
        <w:rPr>
          <w:rFonts w:hint="eastAsia" w:ascii="仿宋_GB2312" w:hAnsi="宋体" w:eastAsia="仿宋_GB2312" w:cs="宋体"/>
          <w:kern w:val="0"/>
          <w:sz w:val="32"/>
          <w:szCs w:val="32"/>
          <w:lang w:val="en-US" w:eastAsia="zh-CN"/>
        </w:rPr>
        <w:t xml:space="preserve"> </w:t>
      </w:r>
    </w:p>
    <w:p>
      <w:pPr>
        <w:widowControl/>
        <w:numPr>
          <w:ilvl w:val="0"/>
          <w:numId w:val="0"/>
        </w:numPr>
        <w:wordWrap/>
        <w:adjustRightInd/>
        <w:snapToGrid/>
        <w:spacing w:line="240" w:lineRule="auto"/>
        <w:ind w:left="0" w:leftChars="0" w:right="0"/>
        <w:jc w:val="left"/>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1</w:t>
      </w:r>
      <w:r>
        <w:rPr>
          <w:rFonts w:ascii="宋体" w:hAnsi="宋体" w:eastAsia="宋体" w:cs="宋体"/>
          <w:sz w:val="24"/>
          <w:szCs w:val="24"/>
        </w:rPr>
        <w:t>、</w:t>
      </w:r>
      <w:r>
        <w:rPr>
          <w:rFonts w:hint="default" w:ascii="Times New Roman" w:hAnsi="Times New Roman" w:eastAsia="仿宋_GB2312" w:cs="Times New Roman"/>
          <w:kern w:val="0"/>
          <w:sz w:val="32"/>
          <w:szCs w:val="32"/>
          <w:lang w:eastAsia="zh-CN"/>
        </w:rPr>
        <w:t>财政拨款预算收入：本级财政部门当年拨付的财政 预算资金，包括一般公共预算财政拨款和政府性基金预算财政拨款。</w:t>
      </w:r>
    </w:p>
    <w:p>
      <w:pPr>
        <w:widowControl/>
        <w:numPr>
          <w:ilvl w:val="0"/>
          <w:numId w:val="0"/>
        </w:numPr>
        <w:wordWrap/>
        <w:adjustRightInd/>
        <w:snapToGrid/>
        <w:spacing w:line="240" w:lineRule="auto"/>
        <w:ind w:left="0" w:leftChars="0" w:right="0"/>
        <w:jc w:val="left"/>
        <w:textAlignment w:val="auto"/>
        <w:rPr>
          <w:rFonts w:hint="default" w:ascii="Times New Roman" w:hAnsi="Times New Roman" w:eastAsia="仿宋_GB2312" w:cs="Times New Roman"/>
          <w:kern w:val="0"/>
          <w:sz w:val="32"/>
          <w:szCs w:val="32"/>
          <w:lang w:eastAsia="zh-CN"/>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 xml:space="preserve">上年结转：指以前年度尚未完成、结转到本年仍按原规定用途继续使用的资金。 </w:t>
      </w:r>
    </w:p>
    <w:p>
      <w:pPr>
        <w:widowControl/>
        <w:numPr>
          <w:ilvl w:val="0"/>
          <w:numId w:val="0"/>
        </w:numPr>
        <w:wordWrap/>
        <w:adjustRightInd/>
        <w:snapToGrid/>
        <w:spacing w:line="240" w:lineRule="auto"/>
        <w:ind w:right="0"/>
        <w:jc w:val="left"/>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3、年末</w:t>
      </w:r>
      <w:r>
        <w:rPr>
          <w:rFonts w:hint="default" w:ascii="Times New Roman" w:hAnsi="Times New Roman" w:eastAsia="仿宋_GB2312" w:cs="Times New Roman"/>
          <w:kern w:val="0"/>
          <w:sz w:val="32"/>
          <w:szCs w:val="32"/>
          <w:lang w:eastAsia="zh-CN"/>
        </w:rPr>
        <w:t xml:space="preserve">结转和结余：指本年度或以前年度预算安排、 因客观条件发生变化无法按原计划实施，需要延迟到以后年度按有关规定继续使用的资金。 </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4</w:t>
      </w:r>
      <w:r>
        <w:rPr>
          <w:rFonts w:hint="eastAsia" w:ascii="宋体" w:hAnsi="宋体" w:eastAsia="宋体" w:cs="宋体"/>
          <w:sz w:val="24"/>
          <w:szCs w:val="24"/>
          <w:lang w:val="en-US" w:eastAsia="zh-CN"/>
        </w:rPr>
        <w:t>、</w:t>
      </w:r>
      <w:r>
        <w:rPr>
          <w:rFonts w:hint="eastAsia" w:ascii="Times New Roman" w:hAnsi="Times New Roman" w:eastAsia="仿宋_GB2312" w:cs="Times New Roman"/>
          <w:kern w:val="0"/>
          <w:sz w:val="32"/>
          <w:szCs w:val="32"/>
          <w:lang w:val="en-US" w:eastAsia="zh-CN"/>
        </w:rPr>
        <w:t>基本支出：指预算单位为保障机构正常运转、完成日常工作任务而发生的人员支出和公用支出。</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 xml:space="preserve">  5</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项目支出：是预算单位为完成其特定的行政工作任 务或事业发展目标所发生的支出。 </w:t>
      </w:r>
    </w:p>
    <w:p>
      <w:pPr>
        <w:widowControl/>
        <w:numPr>
          <w:ilvl w:val="0"/>
          <w:numId w:val="0"/>
        </w:numPr>
        <w:wordWrap/>
        <w:adjustRightInd/>
        <w:snapToGrid/>
        <w:spacing w:line="240" w:lineRule="auto"/>
        <w:ind w:right="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6</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一般公共服务支出（类）财政事务（款）行政运行 （项）： 指行政单位（包括实行公务员管理的事业单位）的基本支出。</w:t>
      </w:r>
    </w:p>
    <w:p>
      <w:pPr>
        <w:widowControl/>
        <w:numPr>
          <w:ilvl w:val="0"/>
          <w:numId w:val="0"/>
        </w:numPr>
        <w:wordWrap/>
        <w:adjustRightInd/>
        <w:snapToGrid/>
        <w:spacing w:line="240" w:lineRule="auto"/>
        <w:ind w:left="0" w:leftChars="0" w:right="0" w:firstLine="0" w:firstLineChars="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Times New Roman" w:hAnsi="Times New Roman" w:eastAsia="仿宋_GB2312" w:cs="Times New Roman"/>
          <w:kern w:val="0"/>
          <w:sz w:val="32"/>
          <w:szCs w:val="32"/>
          <w:lang w:val="en-US" w:eastAsia="zh-CN"/>
        </w:rPr>
        <w:t>7</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一般公共服务支出（类）财政事务（款）一般行政管理事务（项）：指行政单位（包括实行公务员管理的事业 单位）未单独设置项级科目的其他项目支出。</w:t>
      </w:r>
    </w:p>
    <w:p>
      <w:pPr>
        <w:widowControl/>
        <w:numPr>
          <w:ilvl w:val="0"/>
          <w:numId w:val="0"/>
        </w:numPr>
        <w:wordWrap/>
        <w:adjustRightInd/>
        <w:snapToGrid/>
        <w:spacing w:line="240" w:lineRule="auto"/>
        <w:ind w:left="0" w:leftChars="0" w:right="0" w:firstLine="640" w:firstLineChars="200"/>
        <w:jc w:val="left"/>
        <w:textAlignment w:val="auto"/>
        <w:outlineLvl w:val="9"/>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8</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一般公共服务支出（类）财政事务（款）机关服务 （项）： 指为行政单位（包括实行公务员管理的事业单位）提供后勤服务的各类后勤服务中心等附属事业单位的支出。 </w:t>
      </w:r>
    </w:p>
    <w:p>
      <w:pPr>
        <w:widowControl/>
        <w:numPr>
          <w:ilvl w:val="0"/>
          <w:numId w:val="0"/>
        </w:numPr>
        <w:wordWrap/>
        <w:adjustRightInd/>
        <w:snapToGrid/>
        <w:spacing w:line="240" w:lineRule="auto"/>
        <w:ind w:left="0" w:leftChars="0" w:right="0" w:firstLine="640" w:firstLineChars="20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一般公共服务支出（类）财政事务（款）财政监察 （项）：指财政监察派出机构的专项业务支出。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10</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 一般公共服务支出（类）财政事务（款）信息化建设 （项）：指财政部门用于信息化建设方面的支出。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11</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一般公共服务支出（类）财政事务（款）财政委托业务支出（项）：指财政委托评审机构进行财政投资评审和委托建设银行等机构代理业务发生的支出。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12</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一般公共服务支出（类）纪检监察事务（款）派驻派出机构（项）：指由纪检监察部门负担的派驻各部门和单 位的纪检监察人员的专项业务支出。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13</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社会保障和就业支出（类）行政事业单位养老支出 （款）行政单位离退休（项）：指行政单位（包括实行公务 员管理的事业单位）开支的离退休经费。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14</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社会保障和就业支出（类）行政事业单位养老支出 （款）机关事业单位基本养老保险缴费支出（项）：指机关 事业单位实施养老保险制度由单位缴纳的基本养老保险费 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15、社会保障和就业支出（类）行政事业单位离退休（款） 机关事业单位职业年金缴费支出（项）：指机关事业单位实 施养老保险制度由单位实际缴纳的职业年金支出。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16</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 xml:space="preserve">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17</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卫生健康支出（类）行政事业单位医疗（款）公务员医疗补助（项）：指财政部门安排的公务员医疗补助经费。</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18</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住房保障支出（类）住房改革支出（款）住房公积金（项）：指行政事业单位按人力资源和社会保障部、财政 部规定的基本工资和津贴补贴以及规定比例为职工缴纳的 住房公积金。</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19、 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widowControl/>
        <w:numPr>
          <w:ilvl w:val="0"/>
          <w:numId w:val="0"/>
        </w:numPr>
        <w:wordWrap/>
        <w:adjustRightInd/>
        <w:snapToGrid/>
        <w:spacing w:line="240" w:lineRule="auto"/>
        <w:ind w:left="0" w:leftChars="0" w:right="0"/>
        <w:jc w:val="lef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20</w:t>
      </w:r>
      <w:r>
        <w:rPr>
          <w:rFonts w:ascii="宋体" w:hAnsi="宋体" w:eastAsia="宋体" w:cs="宋体"/>
          <w:sz w:val="24"/>
          <w:szCs w:val="24"/>
        </w:rPr>
        <w:t>、</w:t>
      </w:r>
      <w:r>
        <w:rPr>
          <w:rFonts w:hint="eastAsia" w:ascii="Times New Roman" w:hAnsi="Times New Roman" w:eastAsia="仿宋_GB2312" w:cs="Times New Roman"/>
          <w:kern w:val="0"/>
          <w:sz w:val="32"/>
          <w:szCs w:val="32"/>
          <w:lang w:val="en-US" w:eastAsia="zh-CN"/>
        </w:rPr>
        <w:t>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widowControl/>
        <w:numPr>
          <w:ilvl w:val="0"/>
          <w:numId w:val="0"/>
        </w:numPr>
        <w:wordWrap/>
        <w:adjustRightInd/>
        <w:snapToGrid/>
        <w:spacing w:line="400" w:lineRule="exact"/>
        <w:ind w:right="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p>
    <w:p>
      <w:pPr>
        <w:widowControl w:val="0"/>
        <w:wordWrap/>
        <w:adjustRightInd/>
        <w:snapToGrid/>
        <w:spacing w:before="157" w:beforeLines="50" w:line="400" w:lineRule="exact"/>
        <w:ind w:left="0" w:leftChars="0" w:right="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widowControl w:val="0"/>
        <w:wordWrap/>
        <w:adjustRightInd/>
        <w:snapToGrid/>
        <w:spacing w:before="157" w:beforeLines="50" w:line="400" w:lineRule="exact"/>
        <w:ind w:left="0" w:leftChars="0" w:right="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suff w:val="nothing"/>
      <w:lvlText w:val="%1．"/>
      <w:lvlJc w:val="left"/>
      <w:pPr>
        <w:ind w:left="-10"/>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64BF93C2"/>
    <w:multiLevelType w:val="singleLevel"/>
    <w:tmpl w:val="64BF93C2"/>
    <w:lvl w:ilvl="0" w:tentative="0">
      <w:start w:val="1"/>
      <w:numFmt w:val="chineseCounting"/>
      <w:suff w:val="nothing"/>
      <w:lvlText w:val="（%1）"/>
      <w:lvlJc w:val="left"/>
    </w:lvl>
  </w:abstractNum>
  <w:abstractNum w:abstractNumId="3">
    <w:nsid w:val="64F7EB2A"/>
    <w:multiLevelType w:val="singleLevel"/>
    <w:tmpl w:val="64F7EB2A"/>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2FjOGI0Y2Y3Y2NjODk4MmViNGFjZjdjMDY4ZDcifQ=="/>
  </w:docVars>
  <w:rsids>
    <w:rsidRoot w:val="7C17574C"/>
    <w:rsid w:val="031C4091"/>
    <w:rsid w:val="05DF577F"/>
    <w:rsid w:val="066E5855"/>
    <w:rsid w:val="0B5D3616"/>
    <w:rsid w:val="0B6D524B"/>
    <w:rsid w:val="0BAD4E0B"/>
    <w:rsid w:val="0C942AAF"/>
    <w:rsid w:val="0CF35131"/>
    <w:rsid w:val="0D04494E"/>
    <w:rsid w:val="0D2F37C9"/>
    <w:rsid w:val="0EEB340B"/>
    <w:rsid w:val="0F2842C3"/>
    <w:rsid w:val="0F680B9E"/>
    <w:rsid w:val="10AE2D8F"/>
    <w:rsid w:val="10CA7EBE"/>
    <w:rsid w:val="131727D7"/>
    <w:rsid w:val="131D462A"/>
    <w:rsid w:val="13D906ED"/>
    <w:rsid w:val="150D6FD1"/>
    <w:rsid w:val="19495A8C"/>
    <w:rsid w:val="1A19705E"/>
    <w:rsid w:val="1A4A5EC9"/>
    <w:rsid w:val="1AA71346"/>
    <w:rsid w:val="1BD45095"/>
    <w:rsid w:val="1C01040B"/>
    <w:rsid w:val="1D4D1B4A"/>
    <w:rsid w:val="1E022491"/>
    <w:rsid w:val="1EDD2B2F"/>
    <w:rsid w:val="212A3855"/>
    <w:rsid w:val="2206556A"/>
    <w:rsid w:val="238C6090"/>
    <w:rsid w:val="24737B02"/>
    <w:rsid w:val="250A04F5"/>
    <w:rsid w:val="27817BF7"/>
    <w:rsid w:val="27C15CD2"/>
    <w:rsid w:val="27C212FD"/>
    <w:rsid w:val="28354E06"/>
    <w:rsid w:val="28860A6B"/>
    <w:rsid w:val="2A331048"/>
    <w:rsid w:val="2C1C39C7"/>
    <w:rsid w:val="2C56247B"/>
    <w:rsid w:val="2ECD391C"/>
    <w:rsid w:val="2EF43CB3"/>
    <w:rsid w:val="2FA78A48"/>
    <w:rsid w:val="329A2761"/>
    <w:rsid w:val="32AB706D"/>
    <w:rsid w:val="33B91979"/>
    <w:rsid w:val="353C5263"/>
    <w:rsid w:val="393B2C37"/>
    <w:rsid w:val="395778BD"/>
    <w:rsid w:val="3AD801E8"/>
    <w:rsid w:val="3D6D460C"/>
    <w:rsid w:val="3D77724A"/>
    <w:rsid w:val="3DE970A0"/>
    <w:rsid w:val="3F78018F"/>
    <w:rsid w:val="3FAC0518"/>
    <w:rsid w:val="3FC840B3"/>
    <w:rsid w:val="40290A28"/>
    <w:rsid w:val="40EC510F"/>
    <w:rsid w:val="42F01D3B"/>
    <w:rsid w:val="452D4B0C"/>
    <w:rsid w:val="48065BE1"/>
    <w:rsid w:val="499B398E"/>
    <w:rsid w:val="4A9C229A"/>
    <w:rsid w:val="4BA20B39"/>
    <w:rsid w:val="4DB374A9"/>
    <w:rsid w:val="4EFE2BAF"/>
    <w:rsid w:val="4F8E14CA"/>
    <w:rsid w:val="4FC15B68"/>
    <w:rsid w:val="50996960"/>
    <w:rsid w:val="513856C4"/>
    <w:rsid w:val="514806C1"/>
    <w:rsid w:val="52101F5F"/>
    <w:rsid w:val="53594E74"/>
    <w:rsid w:val="53772781"/>
    <w:rsid w:val="542F26AE"/>
    <w:rsid w:val="543A4A3D"/>
    <w:rsid w:val="543F0EC5"/>
    <w:rsid w:val="566564DE"/>
    <w:rsid w:val="57304FB4"/>
    <w:rsid w:val="57564D81"/>
    <w:rsid w:val="5786595D"/>
    <w:rsid w:val="57E271F7"/>
    <w:rsid w:val="58DB54D4"/>
    <w:rsid w:val="598D0FBE"/>
    <w:rsid w:val="5B280DFC"/>
    <w:rsid w:val="5B607CF8"/>
    <w:rsid w:val="5B7003CF"/>
    <w:rsid w:val="5B983284"/>
    <w:rsid w:val="5C820A1F"/>
    <w:rsid w:val="5EF7291B"/>
    <w:rsid w:val="5F2A66F9"/>
    <w:rsid w:val="5F5C4615"/>
    <w:rsid w:val="604E4CD9"/>
    <w:rsid w:val="60B55A87"/>
    <w:rsid w:val="62A661A1"/>
    <w:rsid w:val="6317701F"/>
    <w:rsid w:val="64133513"/>
    <w:rsid w:val="64E27DEC"/>
    <w:rsid w:val="661F1715"/>
    <w:rsid w:val="668632AD"/>
    <w:rsid w:val="67F74457"/>
    <w:rsid w:val="68E93FE9"/>
    <w:rsid w:val="69EA02D1"/>
    <w:rsid w:val="69EE4AD9"/>
    <w:rsid w:val="6B7B403B"/>
    <w:rsid w:val="6DE17FF1"/>
    <w:rsid w:val="6F025DCF"/>
    <w:rsid w:val="71471159"/>
    <w:rsid w:val="71790296"/>
    <w:rsid w:val="717C64BF"/>
    <w:rsid w:val="72870861"/>
    <w:rsid w:val="7480674A"/>
    <w:rsid w:val="75DD2C1D"/>
    <w:rsid w:val="772C2B16"/>
    <w:rsid w:val="783A3D48"/>
    <w:rsid w:val="785F788C"/>
    <w:rsid w:val="79F53325"/>
    <w:rsid w:val="79FE07E4"/>
    <w:rsid w:val="7C17574C"/>
    <w:rsid w:val="7C467372"/>
    <w:rsid w:val="7CB30E94"/>
    <w:rsid w:val="7E9C1A45"/>
    <w:rsid w:val="7FAF173B"/>
    <w:rsid w:val="BAFB5229"/>
    <w:rsid w:val="DF3F5335"/>
    <w:rsid w:val="EFE648C1"/>
    <w:rsid w:val="FAA6C930"/>
    <w:rsid w:val="FEBF396F"/>
    <w:rsid w:val="FFF59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8841</Words>
  <Characters>12814</Characters>
  <Lines>0</Lines>
  <Paragraphs>0</Paragraphs>
  <TotalTime>3</TotalTime>
  <ScaleCrop>false</ScaleCrop>
  <LinksUpToDate>false</LinksUpToDate>
  <CharactersWithSpaces>13667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2018-08-04T03:22:00Z</dcterms:created>
  <dc:creator>李海英</dc:creator>
  <cp:lastModifiedBy>LENOVO</cp:lastModifiedBy>
  <cp:lastPrinted>2022-09-09T00:04:00Z</cp:lastPrinted>
  <dcterms:modified xsi:type="dcterms:W3CDTF">2024-11-13T03:44:50Z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8AAE39C1CFF84C23B13930143C89FEEC_13</vt:lpwstr>
  </property>
</Properties>
</file>