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Nimbus Roman" w:hAnsi="Nimbus Roman" w:eastAsia="方正小标宋简体" w:cs="Nimbus Roman"/>
          <w:color w:val="0C0C0C"/>
          <w:spacing w:val="0"/>
          <w:w w:val="90"/>
          <w:sz w:val="44"/>
          <w:szCs w:val="44"/>
          <w:highlight w:val="none"/>
          <w:lang w:val="en-US" w:eastAsia="zh-CN"/>
        </w:rPr>
      </w:pPr>
      <w:bookmarkStart w:id="4" w:name="_GoBack"/>
      <w:r>
        <w:rPr>
          <w:rFonts w:hint="default" w:ascii="Nimbus Roman" w:hAnsi="Nimbus Roman" w:eastAsia="方正小标宋简体" w:cs="Nimbus Roman"/>
          <w:color w:val="0C0C0C"/>
          <w:spacing w:val="0"/>
          <w:w w:val="90"/>
          <w:sz w:val="44"/>
          <w:szCs w:val="44"/>
          <w:highlight w:val="none"/>
          <w:lang w:val="en-US" w:eastAsia="zh-CN"/>
        </w:rPr>
        <w:t>贺兰山东麓（永宁段）历史遗留废弃矿山生态修复项目水土保持方案报告书技术审查意见</w:t>
      </w:r>
    </w:p>
    <w:bookmarkEnd w:id="4"/>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default" w:ascii="Nimbus Roman" w:hAnsi="Nimbus Roman" w:eastAsia="仿宋_GB2312" w:cs="Nimbus Roman"/>
          <w:color w:val="0C0C0C"/>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贺兰山东麓（永宁段）历史遗留废弃矿山生态修复项目位于永宁县贺兰山东麓，黄羊滩农场（贺兰山沿牧区）和闽宁镇范围内，属新建项目</w:t>
      </w:r>
      <w:bookmarkStart w:id="0" w:name="_Toc27491"/>
      <w:bookmarkStart w:id="1" w:name="_Toc31596"/>
      <w:bookmarkStart w:id="2" w:name="_Toc3546"/>
      <w:bookmarkStart w:id="3" w:name="_Toc6146"/>
      <w:r>
        <w:rPr>
          <w:rFonts w:hint="default" w:ascii="Nimbus Roman" w:hAnsi="Nimbus Roman" w:eastAsia="仿宋_GB2312" w:cs="Nimbus Roman"/>
          <w:color w:val="0C0C0C"/>
          <w:sz w:val="30"/>
          <w:szCs w:val="28"/>
          <w:lang w:val="en-US" w:eastAsia="zh-CN"/>
        </w:rPr>
        <w:t>。2026年3月17日，永宁县审批服务管理局以永审服（批）发〔2026〕88号文对本项目初步设计予以批复（项目代码：2601-640121-15-01-727062）。</w:t>
      </w:r>
      <w:bookmarkEnd w:id="0"/>
      <w:bookmarkEnd w:id="1"/>
      <w:bookmarkEnd w:id="2"/>
      <w:bookmarkEnd w:id="3"/>
      <w:r>
        <w:rPr>
          <w:rFonts w:hint="default" w:ascii="Nimbus Roman" w:hAnsi="Nimbus Roman" w:eastAsia="仿宋_GB2312" w:cs="Nimbus Roman"/>
          <w:color w:val="0C0C0C"/>
          <w:sz w:val="30"/>
          <w:szCs w:val="28"/>
          <w:lang w:val="en-US" w:eastAsia="zh-CN"/>
        </w:rPr>
        <w:t>项目主要建设内容是对7个历史遗留废弃矿山图斑进行地质环境治理，共分5个治理区，由地质安全隐患消除工程、地形地貌重塑工程、土壤重构工程、植被恢复工程、其他工程5部分组成，分为1#治理区、2#治理区、3#治理区、4#治理区、5#治理区共5个分区。</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项目总占地242.37hm²，其中永久占地1.53hm²，临时占地240.84hm²，占地类型为耕地、林地、草地、交通运输用地、其他用地。建设期土石方挖方量70.79万m³，填方70.79万m³，挖填方平衡，无弃方。项目总投资2780.00万元，其中土建投资2455.13万元。工程计划于2026年4月开工，2027年4月完工，总工期为13个月。</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项目区地貌类型为贺兰山山前洪积扇倾斜平原，西南高，东北低，呈西南向东北倾斜；气候类型属中温带大陆干旱型气候区，多年平均气温8.7℃，多年平均降水量201.4mm，平均风速2.4m/s。土壤类型主要为风沙土和灰钙土，植被类型主要为荒漠草原植被。水土流失以中度风力侵蚀为主，侵蚀模数为2600t/km²·a。项目区属省级水土流失重点治理区，容许土壤流失量1000t/km²·a。</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根据《中华人民共和国水土保持法》有关规定，永宁县水务局于2026年3月28日主持召开了《贺兰山东麓（永宁段）历史遗留废弃矿山生态修复项目水土保持方案报告书》（以下简称“方案”）技术审查会。参加会议的有项目建设单位永宁县自然资源局，方案编制单位宁夏润泽水文水资源勘测工程有限公司的代表及特邀专家等，会议成立了专家组（名单附后）。</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与会代表和专家观看了项目现场影像资料，听取了项目建设单位关于该项目前期工作情况、工程概况的介绍，方案编制单位关于方案报告书内容的汇报，经质询、讨论与评审，形成以下审查意见：</w:t>
      </w:r>
    </w:p>
    <w:p>
      <w:pPr>
        <w:spacing w:beforeLines="0" w:afterLines="0" w:line="530" w:lineRule="exact"/>
        <w:ind w:firstLine="600" w:firstLineChars="200"/>
        <w:rPr>
          <w:rFonts w:hint="default" w:ascii="Nimbus Roman" w:hAnsi="Nimbus Roman" w:eastAsia="黑体" w:cs="Nimbus Roman"/>
          <w:b w:val="0"/>
          <w:bCs w:val="0"/>
          <w:color w:val="0C0C0C"/>
          <w:sz w:val="30"/>
          <w:szCs w:val="30"/>
          <w:lang w:val="en-US" w:eastAsia="zh-CN"/>
        </w:rPr>
      </w:pPr>
      <w:r>
        <w:rPr>
          <w:rFonts w:hint="default" w:ascii="Nimbus Roman" w:hAnsi="Nimbus Roman" w:eastAsia="黑体" w:cs="Nimbus Roman"/>
          <w:b w:val="0"/>
          <w:bCs w:val="0"/>
          <w:color w:val="0C0C0C"/>
          <w:sz w:val="30"/>
          <w:szCs w:val="30"/>
          <w:lang w:val="en-US" w:eastAsia="zh-CN"/>
        </w:rPr>
        <w:t>一、主体工程水土保持评价</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（一）同意主体工程选址、建设方案与布局的评价结论。</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（二）基本同意对项目占地、土石方平衡及施工工艺与方法等的评价。</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（三）基本同意对主体设计中具有水土保持功能措施的评价和界定。</w:t>
      </w:r>
    </w:p>
    <w:p>
      <w:pPr>
        <w:spacing w:beforeLines="0" w:afterLines="0" w:line="530" w:lineRule="exact"/>
        <w:ind w:firstLine="600" w:firstLineChars="200"/>
        <w:rPr>
          <w:rFonts w:hint="default" w:ascii="Nimbus Roman" w:hAnsi="Nimbus Roman" w:eastAsia="黑体" w:cs="Nimbus Roman"/>
          <w:b w:val="0"/>
          <w:bCs w:val="0"/>
          <w:color w:val="0C0C0C"/>
          <w:sz w:val="30"/>
          <w:szCs w:val="30"/>
          <w:lang w:val="en-US" w:eastAsia="zh-CN"/>
        </w:rPr>
      </w:pPr>
      <w:r>
        <w:rPr>
          <w:rFonts w:hint="default" w:ascii="Nimbus Roman" w:hAnsi="Nimbus Roman" w:eastAsia="黑体" w:cs="Nimbus Roman"/>
          <w:b w:val="0"/>
          <w:bCs w:val="0"/>
          <w:color w:val="0C0C0C"/>
          <w:sz w:val="30"/>
          <w:szCs w:val="30"/>
          <w:lang w:val="en-US" w:eastAsia="zh-CN"/>
        </w:rPr>
        <w:t>二、水土流失防治责任范围</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同意本阶段方案确定的水土流失防治责任范围为242.37hm²。</w:t>
      </w:r>
    </w:p>
    <w:p>
      <w:pPr>
        <w:spacing w:beforeLines="0" w:afterLines="0" w:line="530" w:lineRule="exact"/>
        <w:ind w:firstLine="600" w:firstLineChars="200"/>
        <w:rPr>
          <w:rFonts w:hint="default" w:ascii="Nimbus Roman" w:hAnsi="Nimbus Roman" w:eastAsia="黑体" w:cs="Nimbus Roman"/>
          <w:b w:val="0"/>
          <w:bCs w:val="0"/>
          <w:color w:val="0C0C0C"/>
          <w:sz w:val="30"/>
          <w:szCs w:val="30"/>
          <w:lang w:val="en-US" w:eastAsia="zh-CN"/>
        </w:rPr>
      </w:pPr>
      <w:r>
        <w:rPr>
          <w:rFonts w:hint="default" w:ascii="Nimbus Roman" w:hAnsi="Nimbus Roman" w:eastAsia="黑体" w:cs="Nimbus Roman"/>
          <w:b w:val="0"/>
          <w:bCs w:val="0"/>
          <w:color w:val="0C0C0C"/>
          <w:sz w:val="30"/>
          <w:szCs w:val="30"/>
          <w:lang w:val="en-US" w:eastAsia="zh-CN"/>
        </w:rPr>
        <w:t>三、水土流失预测</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基本同意水土流失预测范围、时段划分及方法。经预测，项目建设扰动原地貌面积242.37hm²，可能造成新增水土流失量为61399.01t，新增水土流失量21279.06t。项目建设期是新增水土流失的主要时段。</w:t>
      </w:r>
    </w:p>
    <w:p>
      <w:pPr>
        <w:spacing w:beforeLines="0" w:afterLines="0" w:line="530" w:lineRule="exact"/>
        <w:ind w:firstLine="600" w:firstLineChars="200"/>
        <w:rPr>
          <w:rFonts w:hint="default" w:ascii="Nimbus Roman" w:hAnsi="Nimbus Roman" w:eastAsia="黑体" w:cs="Nimbus Roman"/>
          <w:b w:val="0"/>
          <w:bCs w:val="0"/>
          <w:color w:val="0C0C0C"/>
          <w:sz w:val="30"/>
          <w:szCs w:val="30"/>
          <w:lang w:val="en-US" w:eastAsia="zh-CN"/>
        </w:rPr>
      </w:pPr>
      <w:r>
        <w:rPr>
          <w:rFonts w:hint="default" w:ascii="Nimbus Roman" w:hAnsi="Nimbus Roman" w:eastAsia="黑体" w:cs="Nimbus Roman"/>
          <w:b w:val="0"/>
          <w:bCs w:val="0"/>
          <w:color w:val="0C0C0C"/>
          <w:sz w:val="30"/>
          <w:szCs w:val="30"/>
          <w:lang w:val="en-US" w:eastAsia="zh-CN"/>
        </w:rPr>
        <w:t>四、水土流失防治目标</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同意水土流失防治标准执行西北黄土高原区水土流失防治一级标准，基本同意设计水平年的防治指标值为：水土流失治理度93%，土壤流失控制比0.8，渣土防护率94%，表土保护率90%，林草植被恢复率95%，林草覆盖率24%。</w:t>
      </w:r>
    </w:p>
    <w:p>
      <w:pPr>
        <w:spacing w:beforeLines="0" w:afterLines="0" w:line="530" w:lineRule="exact"/>
        <w:ind w:firstLine="600" w:firstLineChars="200"/>
        <w:rPr>
          <w:rFonts w:hint="default" w:ascii="Nimbus Roman" w:hAnsi="Nimbus Roman" w:eastAsia="黑体" w:cs="Nimbus Roman"/>
          <w:b w:val="0"/>
          <w:bCs w:val="0"/>
          <w:color w:val="0C0C0C"/>
          <w:sz w:val="30"/>
          <w:szCs w:val="30"/>
          <w:lang w:val="en-US" w:eastAsia="zh-CN"/>
        </w:rPr>
      </w:pPr>
      <w:r>
        <w:rPr>
          <w:rFonts w:hint="default" w:ascii="Nimbus Roman" w:hAnsi="Nimbus Roman" w:eastAsia="黑体" w:cs="Nimbus Roman"/>
          <w:b w:val="0"/>
          <w:bCs w:val="0"/>
          <w:color w:val="0C0C0C"/>
          <w:sz w:val="30"/>
          <w:szCs w:val="30"/>
          <w:lang w:val="en-US" w:eastAsia="zh-CN"/>
        </w:rPr>
        <w:t>五、防治分区及措施总体布局</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highlight w:val="none"/>
          <w:lang w:val="en-US" w:eastAsia="zh-CN"/>
        </w:rPr>
      </w:pPr>
      <w:r>
        <w:rPr>
          <w:rFonts w:hint="default" w:ascii="Nimbus Roman" w:hAnsi="Nimbus Roman" w:eastAsia="仿宋_GB2312" w:cs="Nimbus Roman"/>
          <w:color w:val="0C0C0C"/>
          <w:sz w:val="30"/>
          <w:szCs w:val="28"/>
          <w:lang w:val="en-US" w:eastAsia="zh-CN"/>
        </w:rPr>
        <w:t>（一）基本同意将水土流失</w:t>
      </w:r>
      <w:r>
        <w:rPr>
          <w:rFonts w:hint="default" w:ascii="Nimbus Roman" w:hAnsi="Nimbus Roman" w:eastAsia="仿宋_GB2312" w:cs="Nimbus Roman"/>
          <w:color w:val="0C0C0C"/>
          <w:sz w:val="30"/>
          <w:szCs w:val="28"/>
          <w:highlight w:val="none"/>
          <w:lang w:val="en-US" w:eastAsia="zh-CN"/>
        </w:rPr>
        <w:t>防治分区划分为1#治理区、2#治理区、3#治理区、4#治理区、5#治理区共5个防治分区。</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highlight w:val="none"/>
          <w:lang w:val="en-US" w:eastAsia="zh-CN"/>
        </w:rPr>
      </w:pPr>
      <w:r>
        <w:rPr>
          <w:rFonts w:hint="default" w:ascii="Nimbus Roman" w:hAnsi="Nimbus Roman" w:eastAsia="仿宋_GB2312" w:cs="Nimbus Roman"/>
          <w:color w:val="0C0C0C"/>
          <w:sz w:val="30"/>
          <w:szCs w:val="28"/>
          <w:highlight w:val="none"/>
          <w:lang w:val="en-US" w:eastAsia="zh-CN"/>
        </w:rPr>
        <w:t>（二）基本同意水土流失防治措施体系及总体布局。</w:t>
      </w:r>
    </w:p>
    <w:p>
      <w:pPr>
        <w:spacing w:beforeLines="0" w:afterLines="0" w:line="530" w:lineRule="exact"/>
        <w:ind w:firstLine="600" w:firstLineChars="200"/>
        <w:rPr>
          <w:rFonts w:hint="default" w:ascii="Nimbus Roman" w:hAnsi="Nimbus Roman" w:eastAsia="黑体" w:cs="Nimbus Roman"/>
          <w:b w:val="0"/>
          <w:bCs w:val="0"/>
          <w:color w:val="0C0C0C"/>
          <w:sz w:val="30"/>
          <w:szCs w:val="30"/>
          <w:lang w:val="en-US" w:eastAsia="zh-CN"/>
        </w:rPr>
      </w:pPr>
      <w:r>
        <w:rPr>
          <w:rFonts w:hint="default" w:ascii="Nimbus Roman" w:hAnsi="Nimbus Roman" w:eastAsia="黑体" w:cs="Nimbus Roman"/>
          <w:b w:val="0"/>
          <w:bCs w:val="0"/>
          <w:color w:val="0C0C0C"/>
          <w:sz w:val="30"/>
          <w:szCs w:val="30"/>
          <w:lang w:val="en-US" w:eastAsia="zh-CN"/>
        </w:rPr>
        <w:t>六、分区防治措施布局</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基本同意防治措施布局，主要防治措施工程量为：</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（1）1#治理区</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工程措施：场地平整43.80hm²，边坡截排水沟2.80km；</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植物措施：种草复绿43.80hm²，需短花针茅、虎尾草、高冰草草籽各1314.12kg；栽植苗木13220株，其中沙枣3629株、白榆9591株，幼林抚育两年；</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临时措施：洒水抑尘9198m³。</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（2）2#治理区</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工程措施：场地平整39.35hm²；</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植物措施：种草复绿39.35hm²，需短花针茅、虎尾草、高冰草草籽各1180.50kg；栽植苗木12988株，其中沙枣3951株，白榆9037株，幼林抚育两年；</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临时措施：洒水抑尘8264m³。</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（3）3#治理区</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工程措施：场地平整10.21hm²；</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植物措施：种草复绿10.21hm²，需短花针茅、虎尾草、高冰草草籽各306.30kg；</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临时措施：洒水抑尘2144m³。</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（4）4#治理区</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工程措施：场地平整17.06hm²；</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植物措施：种草复绿17.06hm²，需短花针茅、虎尾草、高冰草草籽各511.72kg；</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临时措施：洒水抑尘3583m³。</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（5）5#治理区</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工程措施：土地复耕11.92hm²；</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临时措施：洒水抑尘70m³。</w:t>
      </w:r>
    </w:p>
    <w:p>
      <w:pPr>
        <w:spacing w:beforeLines="0" w:afterLines="0" w:line="530" w:lineRule="exact"/>
        <w:ind w:firstLine="600" w:firstLineChars="200"/>
        <w:rPr>
          <w:rFonts w:hint="default" w:ascii="Nimbus Roman" w:hAnsi="Nimbus Roman" w:eastAsia="黑体" w:cs="Nimbus Roman"/>
          <w:b w:val="0"/>
          <w:bCs w:val="0"/>
          <w:color w:val="0C0C0C"/>
          <w:sz w:val="30"/>
          <w:szCs w:val="30"/>
          <w:lang w:val="en-US" w:eastAsia="zh-CN"/>
        </w:rPr>
      </w:pPr>
      <w:r>
        <w:rPr>
          <w:rFonts w:hint="default" w:ascii="Nimbus Roman" w:hAnsi="Nimbus Roman" w:eastAsia="黑体" w:cs="Nimbus Roman"/>
          <w:b w:val="0"/>
          <w:bCs w:val="0"/>
          <w:color w:val="0C0C0C"/>
          <w:sz w:val="30"/>
          <w:szCs w:val="30"/>
          <w:lang w:val="en-US" w:eastAsia="zh-CN"/>
        </w:rPr>
        <w:t>七、水土保持施工组织设计</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基本同意水土保持施工组织及进度安排。</w:t>
      </w:r>
    </w:p>
    <w:p>
      <w:pPr>
        <w:spacing w:beforeLines="0" w:afterLines="0" w:line="530" w:lineRule="exact"/>
        <w:ind w:firstLine="600" w:firstLineChars="200"/>
        <w:rPr>
          <w:rFonts w:hint="default" w:ascii="Nimbus Roman" w:hAnsi="Nimbus Roman" w:eastAsia="黑体" w:cs="Nimbus Roman"/>
          <w:b w:val="0"/>
          <w:bCs w:val="0"/>
          <w:color w:val="0C0C0C"/>
          <w:sz w:val="30"/>
          <w:szCs w:val="30"/>
          <w:lang w:val="en-US" w:eastAsia="zh-CN"/>
        </w:rPr>
      </w:pPr>
      <w:r>
        <w:rPr>
          <w:rFonts w:hint="default" w:ascii="Nimbus Roman" w:hAnsi="Nimbus Roman" w:eastAsia="黑体" w:cs="Nimbus Roman"/>
          <w:b w:val="0"/>
          <w:bCs w:val="0"/>
          <w:color w:val="0C0C0C"/>
          <w:sz w:val="30"/>
          <w:szCs w:val="30"/>
          <w:lang w:val="en-US" w:eastAsia="zh-CN"/>
        </w:rPr>
        <w:t>八、水土保持监测</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基本同意方案提出的水土保持监测时段、内容和方法。</w:t>
      </w:r>
    </w:p>
    <w:p>
      <w:pPr>
        <w:spacing w:beforeLines="0" w:afterLines="0" w:line="530" w:lineRule="exact"/>
        <w:ind w:firstLine="600" w:firstLineChars="200"/>
        <w:rPr>
          <w:rFonts w:hint="default" w:ascii="Nimbus Roman" w:hAnsi="Nimbus Roman" w:eastAsia="黑体" w:cs="Nimbus Roman"/>
          <w:b w:val="0"/>
          <w:bCs w:val="0"/>
          <w:color w:val="0C0C0C"/>
          <w:sz w:val="30"/>
          <w:szCs w:val="30"/>
          <w:lang w:val="en-US" w:eastAsia="zh-CN"/>
        </w:rPr>
      </w:pPr>
      <w:r>
        <w:rPr>
          <w:rFonts w:hint="default" w:ascii="Nimbus Roman" w:hAnsi="Nimbus Roman" w:eastAsia="黑体" w:cs="Nimbus Roman"/>
          <w:b w:val="0"/>
          <w:bCs w:val="0"/>
          <w:color w:val="0C0C0C"/>
          <w:sz w:val="30"/>
          <w:szCs w:val="30"/>
          <w:lang w:val="en-US" w:eastAsia="zh-CN"/>
        </w:rPr>
        <w:t>九、水土保持投资</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同意水土保持投资概算编制依据、原则及方法。基本同意本项目水土保持概算总投资为1272.90万元，其中工程措施为267.24万元，植物措施为758.03万元，监测措施为22.44万元，施工临时工程108.05万元，独立费用56.53万元，基本预备费60.61万元，水土保持补偿费符合免征情形。</w:t>
      </w:r>
    </w:p>
    <w:p>
      <w:pPr>
        <w:spacing w:beforeLines="0" w:afterLines="0" w:line="530" w:lineRule="exact"/>
        <w:ind w:firstLine="600" w:firstLineChars="200"/>
        <w:rPr>
          <w:rFonts w:hint="default" w:ascii="Nimbus Roman" w:hAnsi="Nimbus Roman" w:eastAsia="黑体" w:cs="Nimbus Roman"/>
          <w:b w:val="0"/>
          <w:bCs w:val="0"/>
          <w:color w:val="0C0C0C"/>
          <w:sz w:val="30"/>
          <w:szCs w:val="30"/>
          <w:lang w:val="en-US" w:eastAsia="zh-CN"/>
        </w:rPr>
      </w:pPr>
      <w:r>
        <w:rPr>
          <w:rFonts w:hint="default" w:ascii="Nimbus Roman" w:hAnsi="Nimbus Roman" w:eastAsia="黑体" w:cs="Nimbus Roman"/>
          <w:b w:val="0"/>
          <w:bCs w:val="0"/>
          <w:color w:val="0C0C0C"/>
          <w:sz w:val="30"/>
          <w:szCs w:val="30"/>
          <w:lang w:val="en-US" w:eastAsia="zh-CN"/>
        </w:rPr>
        <w:t>十、水土保持效益分析</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00" w:firstLineChars="200"/>
        <w:textAlignment w:val="auto"/>
        <w:rPr>
          <w:rFonts w:hint="default" w:ascii="Nimbus Roman" w:hAnsi="Nimbus Roman" w:eastAsia="仿宋_GB2312" w:cs="Nimbus Roman"/>
          <w:color w:val="0C0C0C"/>
          <w:sz w:val="30"/>
          <w:szCs w:val="28"/>
          <w:lang w:val="en-US" w:eastAsia="zh-CN"/>
        </w:rPr>
      </w:pPr>
      <w:r>
        <w:rPr>
          <w:rFonts w:hint="default" w:ascii="Nimbus Roman" w:hAnsi="Nimbus Roman" w:eastAsia="仿宋_GB2312" w:cs="Nimbus Roman"/>
          <w:color w:val="0C0C0C"/>
          <w:sz w:val="30"/>
          <w:szCs w:val="28"/>
          <w:lang w:val="en-US" w:eastAsia="zh-CN"/>
        </w:rPr>
        <w:t>基本同意水土保持效益分析。水土保持措施实施后，工程建设造成的水土流失可基本得到控制。</w:t>
      </w:r>
    </w:p>
    <w:p>
      <w:pPr>
        <w:pStyle w:val="5"/>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Nimbus Roman" w:hAnsi="Nimbus Roman" w:eastAsia="仿宋_GB2312" w:cs="Nimbus Roman"/>
          <w:sz w:val="32"/>
          <w:szCs w:val="32"/>
          <w:lang w:val="en-US" w:eastAsia="zh-CN"/>
        </w:rPr>
      </w:pPr>
    </w:p>
    <w:p/>
    <w:sectPr>
      <w:headerReference r:id="rId3" w:type="default"/>
      <w:footerReference r:id="rId4" w:type="default"/>
      <w:pgSz w:w="11906" w:h="16838"/>
      <w:pgMar w:top="1440" w:right="1701" w:bottom="1701"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imbus Roman">
    <w:altName w:val="国标宋体-超大字符集"/>
    <w:panose1 w:val="00000500000000000000"/>
    <w:charset w:val="00"/>
    <w:family w:val="auto"/>
    <w:pitch w:val="default"/>
    <w:sig w:usb0="00000000" w:usb1="000000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国标宋体-超大字符集">
    <w:panose1 w:val="03000509000000000000"/>
    <w:charset w:val="86"/>
    <w:family w:val="auto"/>
    <w:pitch w:val="default"/>
    <w:sig w:usb0="00000001" w:usb1="08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93060"/>
    <w:rsid w:val="44793060"/>
    <w:rsid w:val="5CE5AD75"/>
    <w:rsid w:val="65FDC2D0"/>
    <w:rsid w:val="F39FE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
    <w:basedOn w:val="1"/>
    <w:next w:val="1"/>
    <w:qFormat/>
    <w:uiPriority w:val="0"/>
    <w:pPr>
      <w:spacing w:line="360" w:lineRule="auto"/>
      <w:ind w:firstLine="200" w:firstLineChars="200"/>
    </w:pPr>
    <w:rPr>
      <w:rFonts w:ascii="Times New Roman" w:hAnsi="Times New Roman"/>
      <w:sz w:val="24"/>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qFormat/>
    <w:uiPriority w:val="0"/>
    <w:pPr>
      <w:spacing w:line="560" w:lineRule="exact"/>
      <w:ind w:firstLine="600" w:firstLineChars="200"/>
    </w:pPr>
    <w:rPr>
      <w:rFonts w:ascii="宋体" w:hAnsi="宋体"/>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2026-05-12T11:23:00Z</dcterms:created>
  <dc:creator>lenovo</dc:creator>
  <cp:lastModifiedBy>lenovo</cp:lastModifiedBy>
  <dcterms:modified xsi:type="dcterms:W3CDTF">2026-05-12T11:24:36Z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4A69F829A42554634A9D026A6FCB6BE6_41</vt:lpwstr>
  </property>
</Properties>
</file>